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theme/theme1.xml" ContentType="application/vnd.openxmlformats-officedocument.theme+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foot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spacing w:beforeAutospacing="1" w:after="200"/>
        <w:jc w:val="center"/>
        <w:rPr>
          <w:rFonts w:ascii="Times New Roman" w:hAnsi="Times New Roman" w:cs="Times New Roman"/>
          <w:color w:val="A50021"/>
          <w:sz w:val="36"/>
        </w:rPr>
      </w:pPr>
      <w:r>
        <w:rPr/>
        <w:drawing>
          <wp:inline distT="0" distB="0" distL="0" distR="0">
            <wp:extent cx="723900" cy="723900"/>
            <wp:effectExtent l="0" t="0" r="0" b="0"/>
            <wp:docPr id="1"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3" descr=""/>
                    <pic:cNvPicPr>
                      <a:picLocks noChangeAspect="1" noChangeArrowheads="1"/>
                    </pic:cNvPicPr>
                  </pic:nvPicPr>
                  <pic:blipFill>
                    <a:blip r:embed="rId2"/>
                    <a:stretch>
                      <a:fillRect/>
                    </a:stretch>
                  </pic:blipFill>
                  <pic:spPr bwMode="auto">
                    <a:xfrm>
                      <a:off x="0" y="0"/>
                      <a:ext cx="723900" cy="723900"/>
                    </a:xfrm>
                    <a:prstGeom prst="rect">
                      <a:avLst/>
                    </a:prstGeom>
                  </pic:spPr>
                </pic:pic>
              </a:graphicData>
            </a:graphic>
          </wp:inline>
        </w:drawing>
      </w:r>
    </w:p>
    <w:p>
      <w:pPr>
        <w:pStyle w:val="Normal"/>
        <w:spacing w:beforeAutospacing="1" w:after="200"/>
        <w:jc w:val="center"/>
        <w:rPr>
          <w:rFonts w:ascii="Times New Roman" w:hAnsi="Times New Roman" w:cs="Times New Roman"/>
          <w:color w:val="A50021"/>
          <w:sz w:val="36"/>
        </w:rPr>
      </w:pPr>
      <w:r>
        <w:rPr>
          <w:rFonts w:cs="Times New Roman" w:ascii="Times New Roman" w:hAnsi="Times New Roman"/>
          <w:color w:val="A50021"/>
          <w:sz w:val="36"/>
        </w:rPr>
        <w:t>АО «Республиканский центр пространственных данных «Кадастр»</w:t>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ind w:right="142" w:hanging="0"/>
        <w:jc w:val="center"/>
        <w:rPr>
          <w:rFonts w:ascii="Times New Roman" w:hAnsi="Times New Roman" w:cs="Times New Roman"/>
          <w:b/>
          <w:b/>
          <w:color w:val="C0504D" w:themeColor="accent2"/>
          <w:sz w:val="28"/>
          <w:szCs w:val="28"/>
        </w:rPr>
      </w:pPr>
      <w:r>
        <w:rPr>
          <w:rFonts w:cs="Times New Roman" w:ascii="Times New Roman" w:hAnsi="Times New Roman"/>
          <w:b/>
          <w:color w:val="C0504D" w:themeColor="accent2"/>
          <w:sz w:val="28"/>
          <w:szCs w:val="28"/>
        </w:rPr>
      </w:r>
    </w:p>
    <w:p>
      <w:pPr>
        <w:pStyle w:val="Normal"/>
        <w:spacing w:lineRule="auto" w:line="240" w:before="0" w:after="0"/>
        <w:jc w:val="center"/>
        <w:rPr>
          <w:rFonts w:ascii="Times New Roman" w:hAnsi="Times New Roman" w:cs="Times New Roman"/>
          <w:b/>
          <w:b/>
          <w:sz w:val="28"/>
        </w:rPr>
      </w:pPr>
      <w:r>
        <w:rPr>
          <w:rFonts w:cs="Times New Roman" w:ascii="Times New Roman" w:hAnsi="Times New Roman"/>
          <w:b/>
          <w:sz w:val="28"/>
        </w:rPr>
        <w:t xml:space="preserve">ГЕНЕРАЛЬНЫЙ ПЛАН </w:t>
      </w:r>
    </w:p>
    <w:p>
      <w:pPr>
        <w:pStyle w:val="Normal"/>
        <w:spacing w:lineRule="auto" w:line="240" w:before="0" w:after="0"/>
        <w:jc w:val="center"/>
        <w:rPr>
          <w:rFonts w:ascii="Times New Roman" w:hAnsi="Times New Roman" w:cs="Times New Roman"/>
          <w:b/>
          <w:b/>
          <w:sz w:val="28"/>
        </w:rPr>
      </w:pPr>
      <w:r>
        <w:rPr>
          <w:rFonts w:cs="Times New Roman" w:ascii="Times New Roman" w:hAnsi="Times New Roman"/>
          <w:b/>
          <w:sz w:val="28"/>
        </w:rPr>
        <w:t xml:space="preserve">ТАТАРСКО-ТАВЛИНСКОГО СЕЛЬСКОГО ПОСЕЛЕНИЯ </w:t>
      </w:r>
    </w:p>
    <w:p>
      <w:pPr>
        <w:pStyle w:val="Normal"/>
        <w:spacing w:lineRule="auto" w:line="240" w:before="0" w:after="0"/>
        <w:jc w:val="center"/>
        <w:rPr>
          <w:rFonts w:ascii="Times New Roman" w:hAnsi="Times New Roman" w:cs="Times New Roman"/>
          <w:b/>
          <w:b/>
          <w:sz w:val="28"/>
        </w:rPr>
      </w:pPr>
      <w:r>
        <w:rPr>
          <w:rFonts w:cs="Times New Roman" w:ascii="Times New Roman" w:hAnsi="Times New Roman"/>
          <w:b/>
          <w:sz w:val="28"/>
        </w:rPr>
        <w:t>ЛЯМБИРСКОГО МУНИЦИПАЛЬНОГО РАЙОНА РЕСПУБЛИКИ МОРДОВИЯ</w:t>
      </w:r>
    </w:p>
    <w:p>
      <w:pPr>
        <w:pStyle w:val="Normal"/>
        <w:spacing w:lineRule="auto" w:line="240" w:before="0" w:after="0"/>
        <w:ind w:right="142" w:hanging="0"/>
        <w:jc w:val="center"/>
        <w:rPr>
          <w:rFonts w:ascii="Times New Roman" w:hAnsi="Times New Roman" w:cs="Times New Roman"/>
          <w:b/>
          <w:b/>
          <w:sz w:val="28"/>
          <w:szCs w:val="28"/>
        </w:rPr>
      </w:pPr>
      <w:r>
        <w:rPr>
          <w:rFonts w:cs="Times New Roman" w:ascii="Times New Roman" w:hAnsi="Times New Roman"/>
          <w:b/>
          <w:sz w:val="28"/>
          <w:szCs w:val="28"/>
        </w:rPr>
      </w:r>
    </w:p>
    <w:p>
      <w:pPr>
        <w:pStyle w:val="Normal"/>
        <w:spacing w:lineRule="auto" w:line="240" w:before="0" w:after="0"/>
        <w:ind w:right="142" w:hanging="0"/>
        <w:jc w:val="right"/>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40" w:before="0" w:after="0"/>
        <w:ind w:right="142" w:hanging="0"/>
        <w:jc w:val="center"/>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40" w:before="0" w:after="0"/>
        <w:ind w:right="142" w:hanging="0"/>
        <w:jc w:val="center"/>
        <w:rPr>
          <w:rFonts w:ascii="Times New Roman" w:hAnsi="Times New Roman" w:cs="Times New Roman"/>
          <w:sz w:val="28"/>
          <w:szCs w:val="28"/>
        </w:rPr>
      </w:pPr>
      <w:r>
        <w:rPr>
          <w:rFonts w:cs="Times New Roman" w:ascii="Times New Roman" w:hAnsi="Times New Roman"/>
          <w:b/>
          <w:sz w:val="28"/>
          <w:szCs w:val="28"/>
        </w:rPr>
        <w:t>ТОМ 2</w:t>
      </w:r>
    </w:p>
    <w:p>
      <w:pPr>
        <w:pStyle w:val="PlainText"/>
        <w:ind w:right="142" w:hanging="0"/>
        <w:jc w:val="center"/>
        <w:rPr>
          <w:rFonts w:ascii="Times New Roman" w:hAnsi="Times New Roman" w:cs="Times New Roman"/>
          <w:b/>
          <w:b/>
          <w:color w:val="C0504D" w:themeColor="accent2"/>
          <w:sz w:val="28"/>
          <w:szCs w:val="28"/>
        </w:rPr>
      </w:pPr>
      <w:r>
        <w:rPr>
          <w:rFonts w:cs="Times New Roman" w:ascii="Times New Roman" w:hAnsi="Times New Roman"/>
          <w:bCs/>
          <w:sz w:val="28"/>
          <w:szCs w:val="28"/>
        </w:rPr>
        <w:t>МАТЕРИАЛЫ ПО ОБОСНОВАНИЮ</w:t>
      </w:r>
    </w:p>
    <w:p>
      <w:pPr>
        <w:pStyle w:val="Normal"/>
        <w:spacing w:lineRule="auto" w:line="240" w:before="0" w:after="0"/>
        <w:ind w:right="142" w:hanging="0"/>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cs="Times New Roman"/>
          <w:color w:val="000000"/>
          <w:sz w:val="28"/>
          <w:szCs w:val="28"/>
        </w:rPr>
      </w:pPr>
      <w:r>
        <w:rPr>
          <w:rFonts w:cs="Times New Roman" w:ascii="Times New Roman" w:hAnsi="Times New Roman"/>
          <w:color w:val="000000"/>
          <w:sz w:val="28"/>
          <w:szCs w:val="28"/>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jc w:val="center"/>
        <w:rPr>
          <w:rFonts w:ascii="Times New Roman" w:hAnsi="Times New Roman" w:eastAsia="Times New Roman" w:cs="Times New Roman"/>
          <w:b/>
          <w:b/>
          <w:color w:val="000000"/>
          <w:sz w:val="24"/>
          <w:szCs w:val="24"/>
        </w:rPr>
      </w:pPr>
      <w:r>
        <w:rPr>
          <w:rFonts w:eastAsia="Times New Roman"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p>
      <w:pPr>
        <w:pStyle w:val="Normal"/>
        <w:spacing w:lineRule="auto" w:line="240" w:before="0" w:after="0"/>
        <w:ind w:firstLine="709"/>
        <w:jc w:val="center"/>
        <w:rPr>
          <w:rFonts w:ascii="Times New Roman" w:hAnsi="Times New Roman" w:cs="Times New Roman"/>
          <w:b/>
          <w:b/>
          <w:color w:val="000000" w:themeColor="text1"/>
          <w:sz w:val="24"/>
          <w:szCs w:val="24"/>
        </w:rPr>
      </w:pPr>
      <w:r>
        <w:rPr>
          <w:rFonts w:cs="Times New Roman" w:ascii="Times New Roman" w:hAnsi="Times New Roman"/>
          <w:b/>
          <w:color w:val="000000"/>
          <w:sz w:val="24"/>
          <w:szCs w:val="24"/>
        </w:rPr>
        <w:t>СОСТАВ ПРОЕКТА «</w:t>
      </w:r>
      <w:r>
        <w:rPr>
          <w:rFonts w:cs="Times New Roman" w:ascii="Times New Roman" w:hAnsi="Times New Roman"/>
          <w:b/>
          <w:color w:val="000000" w:themeColor="text1"/>
          <w:sz w:val="24"/>
          <w:szCs w:val="24"/>
        </w:rPr>
        <w:t>ВНЕСЕНИЕ ИЗМЕНЕНИЙ В ГЕНЕРАЛЬНЫЙ ПЛАН»</w:t>
      </w:r>
    </w:p>
    <w:p>
      <w:pPr>
        <w:pStyle w:val="Normal"/>
        <w:spacing w:lineRule="auto" w:line="240" w:before="0" w:after="0"/>
        <w:ind w:firstLine="709"/>
        <w:jc w:val="center"/>
        <w:rPr>
          <w:rFonts w:ascii="Times New Roman" w:hAnsi="Times New Roman" w:cs="Times New Roman"/>
          <w:b/>
          <w:b/>
          <w:color w:val="000000"/>
          <w:sz w:val="24"/>
          <w:szCs w:val="24"/>
        </w:rPr>
      </w:pPr>
      <w:r>
        <w:rPr>
          <w:rFonts w:cs="Times New Roman" w:ascii="Times New Roman" w:hAnsi="Times New Roman"/>
          <w:b/>
          <w:color w:val="000000"/>
          <w:sz w:val="24"/>
          <w:szCs w:val="24"/>
        </w:rPr>
      </w:r>
    </w:p>
    <w:tbl>
      <w:tblPr>
        <w:tblW w:w="9416" w:type="dxa"/>
        <w:jc w:val="left"/>
        <w:tblInd w:w="108" w:type="dxa"/>
        <w:tblCellMar>
          <w:top w:w="0" w:type="dxa"/>
          <w:left w:w="108" w:type="dxa"/>
          <w:bottom w:w="0" w:type="dxa"/>
          <w:right w:w="108" w:type="dxa"/>
        </w:tblCellMar>
        <w:tblLook w:firstRow="0" w:noVBand="0" w:lastRow="0" w:firstColumn="0" w:lastColumn="0" w:noHBand="0" w:val="0000"/>
      </w:tblPr>
      <w:tblGrid>
        <w:gridCol w:w="1675"/>
        <w:gridCol w:w="7740"/>
      </w:tblGrid>
      <w:tr>
        <w:trPr>
          <w:trHeight w:val="574" w:hRule="atLeast"/>
        </w:trPr>
        <w:tc>
          <w:tcPr>
            <w:tcW w:w="9415"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center"/>
              <w:rPr>
                <w:rFonts w:ascii="Times New Roman" w:hAnsi="Times New Roman" w:cs="Times New Roman"/>
                <w:color w:val="000000"/>
                <w:sz w:val="24"/>
                <w:szCs w:val="24"/>
              </w:rPr>
            </w:pPr>
            <w:r>
              <w:rPr>
                <w:rFonts w:cs="Times New Roman" w:ascii="Times New Roman" w:hAnsi="Times New Roman"/>
                <w:b/>
                <w:color w:val="000000"/>
                <w:sz w:val="24"/>
                <w:szCs w:val="24"/>
              </w:rPr>
              <w:t>ТОМ 1</w:t>
            </w:r>
          </w:p>
          <w:p>
            <w:pPr>
              <w:pStyle w:val="Normal"/>
              <w:shd w:val="clear" w:color="auto" w:fill="FFFFFF"/>
              <w:tabs>
                <w:tab w:val="clear" w:pos="709"/>
                <w:tab w:val="left" w:pos="7513" w:leader="none"/>
              </w:tabs>
              <w:spacing w:lineRule="auto" w:line="240" w:before="0" w:after="0"/>
              <w:contextualSpacing/>
              <w:jc w:val="center"/>
              <w:rPr>
                <w:rFonts w:ascii="Times New Roman" w:hAnsi="Times New Roman" w:cs="Times New Roman"/>
                <w:sz w:val="24"/>
                <w:szCs w:val="24"/>
              </w:rPr>
            </w:pPr>
            <w:r>
              <w:rPr>
                <w:rFonts w:cs="Times New Roman" w:ascii="Times New Roman" w:hAnsi="Times New Roman"/>
                <w:color w:val="000000"/>
                <w:sz w:val="24"/>
                <w:szCs w:val="24"/>
              </w:rPr>
              <w:t>ПОЛОЖЕНИЕ О ТЕРРИТОРИАЛЬНОМ ПЛАНИРОВАНИИ</w:t>
            </w:r>
          </w:p>
        </w:tc>
      </w:tr>
      <w:tr>
        <w:trPr/>
        <w:tc>
          <w:tcPr>
            <w:tcW w:w="1675" w:type="dxa"/>
            <w:tcBorders>
              <w:top w:val="single" w:sz="4" w:space="0" w:color="000000"/>
              <w:left w:val="single" w:sz="4" w:space="0" w:color="000000"/>
              <w:bottom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Часть </w:t>
            </w:r>
            <w:r>
              <w:rPr>
                <w:rFonts w:cs="Times New Roman" w:ascii="Times New Roman" w:hAnsi="Times New Roman"/>
                <w:b/>
                <w:color w:val="000000"/>
                <w:sz w:val="24"/>
                <w:szCs w:val="24"/>
              </w:rPr>
              <w:t>А</w:t>
            </w:r>
          </w:p>
        </w:tc>
        <w:tc>
          <w:tcPr>
            <w:tcW w:w="7740"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sz w:val="24"/>
                <w:szCs w:val="24"/>
              </w:rPr>
            </w:pPr>
            <w:r>
              <w:rPr>
                <w:rFonts w:cs="Times New Roman" w:ascii="Times New Roman" w:hAnsi="Times New Roman"/>
                <w:color w:val="000000"/>
                <w:sz w:val="24"/>
                <w:szCs w:val="24"/>
              </w:rPr>
              <w:t>Пояснительная записка (текстовая)</w:t>
            </w:r>
          </w:p>
        </w:tc>
      </w:tr>
      <w:tr>
        <w:trPr/>
        <w:tc>
          <w:tcPr>
            <w:tcW w:w="1675" w:type="dxa"/>
            <w:tcBorders>
              <w:top w:val="single" w:sz="4" w:space="0" w:color="000000"/>
              <w:left w:val="single" w:sz="4" w:space="0" w:color="000000"/>
              <w:bottom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Часть </w:t>
            </w:r>
            <w:r>
              <w:rPr>
                <w:rFonts w:cs="Times New Roman" w:ascii="Times New Roman" w:hAnsi="Times New Roman"/>
                <w:b/>
                <w:color w:val="000000"/>
                <w:sz w:val="24"/>
                <w:szCs w:val="24"/>
              </w:rPr>
              <w:t>Б</w:t>
            </w:r>
          </w:p>
        </w:tc>
        <w:tc>
          <w:tcPr>
            <w:tcW w:w="7740"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sz w:val="24"/>
                <w:szCs w:val="24"/>
              </w:rPr>
            </w:pPr>
            <w:r>
              <w:rPr>
                <w:rFonts w:cs="Times New Roman" w:ascii="Times New Roman" w:hAnsi="Times New Roman"/>
                <w:color w:val="000000"/>
                <w:sz w:val="24"/>
                <w:szCs w:val="24"/>
              </w:rPr>
              <w:t>Графические материалы</w:t>
            </w:r>
          </w:p>
        </w:tc>
      </w:tr>
      <w:tr>
        <w:trPr>
          <w:trHeight w:val="691" w:hRule="atLeast"/>
        </w:trPr>
        <w:tc>
          <w:tcPr>
            <w:tcW w:w="9415" w:type="dxa"/>
            <w:gridSpan w:val="2"/>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center"/>
              <w:rPr>
                <w:rFonts w:ascii="Times New Roman" w:hAnsi="Times New Roman" w:cs="Times New Roman"/>
                <w:color w:val="000000"/>
                <w:sz w:val="24"/>
                <w:szCs w:val="24"/>
              </w:rPr>
            </w:pPr>
            <w:r>
              <w:rPr>
                <w:rFonts w:cs="Times New Roman" w:ascii="Times New Roman" w:hAnsi="Times New Roman"/>
                <w:b/>
                <w:color w:val="000000"/>
                <w:sz w:val="24"/>
                <w:szCs w:val="24"/>
              </w:rPr>
              <w:t>ТОМ 2</w:t>
            </w:r>
          </w:p>
          <w:p>
            <w:pPr>
              <w:pStyle w:val="Normal"/>
              <w:shd w:val="clear" w:color="auto" w:fill="FFFFFF"/>
              <w:tabs>
                <w:tab w:val="clear" w:pos="709"/>
                <w:tab w:val="left" w:pos="7513" w:leader="none"/>
              </w:tabs>
              <w:spacing w:lineRule="auto" w:line="240" w:before="0" w:after="0"/>
              <w:contextualSpacing/>
              <w:jc w:val="center"/>
              <w:rPr>
                <w:rFonts w:ascii="Times New Roman" w:hAnsi="Times New Roman" w:cs="Times New Roman"/>
                <w:sz w:val="24"/>
                <w:szCs w:val="24"/>
              </w:rPr>
            </w:pPr>
            <w:r>
              <w:rPr>
                <w:rFonts w:cs="Times New Roman" w:ascii="Times New Roman" w:hAnsi="Times New Roman"/>
                <w:color w:val="000000"/>
                <w:sz w:val="24"/>
                <w:szCs w:val="24"/>
              </w:rPr>
              <w:t>МАТЕРИАЛЫ ПО ОБОСНОВАНИЮ</w:t>
            </w:r>
          </w:p>
        </w:tc>
      </w:tr>
      <w:tr>
        <w:trPr/>
        <w:tc>
          <w:tcPr>
            <w:tcW w:w="1675" w:type="dxa"/>
            <w:tcBorders>
              <w:top w:val="single" w:sz="4" w:space="0" w:color="000000"/>
              <w:left w:val="single" w:sz="4" w:space="0" w:color="000000"/>
              <w:bottom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Часть</w:t>
            </w:r>
            <w:r>
              <w:rPr>
                <w:rFonts w:cs="Times New Roman" w:ascii="Times New Roman" w:hAnsi="Times New Roman"/>
                <w:b/>
                <w:color w:val="000000"/>
                <w:sz w:val="24"/>
                <w:szCs w:val="24"/>
              </w:rPr>
              <w:t xml:space="preserve"> А</w:t>
            </w:r>
          </w:p>
        </w:tc>
        <w:tc>
          <w:tcPr>
            <w:tcW w:w="7740"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sz w:val="24"/>
                <w:szCs w:val="24"/>
              </w:rPr>
            </w:pPr>
            <w:r>
              <w:rPr>
                <w:rFonts w:cs="Times New Roman" w:ascii="Times New Roman" w:hAnsi="Times New Roman"/>
                <w:color w:val="000000"/>
                <w:sz w:val="24"/>
                <w:szCs w:val="24"/>
              </w:rPr>
              <w:t>Пояснительная записка (текстовая)</w:t>
            </w:r>
          </w:p>
        </w:tc>
      </w:tr>
      <w:tr>
        <w:trPr/>
        <w:tc>
          <w:tcPr>
            <w:tcW w:w="1675" w:type="dxa"/>
            <w:tcBorders>
              <w:top w:val="single" w:sz="4" w:space="0" w:color="000000"/>
              <w:left w:val="single" w:sz="4" w:space="0" w:color="000000"/>
              <w:bottom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 xml:space="preserve">Часть </w:t>
            </w:r>
            <w:r>
              <w:rPr>
                <w:rFonts w:cs="Times New Roman" w:ascii="Times New Roman" w:hAnsi="Times New Roman"/>
                <w:b/>
                <w:color w:val="000000"/>
                <w:sz w:val="24"/>
                <w:szCs w:val="24"/>
              </w:rPr>
              <w:t>Б</w:t>
            </w:r>
          </w:p>
        </w:tc>
        <w:tc>
          <w:tcPr>
            <w:tcW w:w="7740"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709"/>
                <w:tab w:val="left" w:pos="7513" w:leader="none"/>
              </w:tabs>
              <w:spacing w:lineRule="auto" w:line="240" w:before="0" w:after="0"/>
              <w:contextualSpacing/>
              <w:jc w:val="both"/>
              <w:rPr>
                <w:rFonts w:ascii="Times New Roman" w:hAnsi="Times New Roman" w:cs="Times New Roman"/>
                <w:sz w:val="24"/>
                <w:szCs w:val="24"/>
              </w:rPr>
            </w:pPr>
            <w:r>
              <w:rPr>
                <w:rFonts w:cs="Times New Roman" w:ascii="Times New Roman" w:hAnsi="Times New Roman"/>
                <w:color w:val="000000"/>
                <w:sz w:val="24"/>
                <w:szCs w:val="24"/>
              </w:rPr>
              <w:t>Графические материалы</w:t>
            </w:r>
          </w:p>
        </w:tc>
      </w:tr>
    </w:tbl>
    <w:p>
      <w:pPr>
        <w:pStyle w:val="Normal"/>
        <w:spacing w:before="0" w:after="0"/>
        <w:ind w:firstLine="720"/>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851"/>
        <w:jc w:val="both"/>
        <w:rPr>
          <w:rFonts w:ascii="Times New Roman" w:hAnsi="Times New Roman" w:cs="Times New Roman"/>
          <w:sz w:val="24"/>
          <w:szCs w:val="24"/>
        </w:rPr>
      </w:pPr>
      <w:r>
        <w:rPr>
          <w:rFonts w:cs="Times New Roman" w:ascii="Times New Roman" w:hAnsi="Times New Roman"/>
          <w:sz w:val="24"/>
          <w:szCs w:val="24"/>
        </w:rPr>
        <w:t>Документ состоит из 2-х томов: «Положение о территориальном планировании» (Том 1), «Материалы по обоснованию» (Том 2).</w:t>
      </w:r>
    </w:p>
    <w:p>
      <w:pPr>
        <w:pStyle w:val="Normal"/>
        <w:spacing w:before="0" w:after="240"/>
        <w:ind w:firstLine="851"/>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240"/>
        <w:ind w:firstLine="851"/>
        <w:jc w:val="both"/>
        <w:rPr>
          <w:rFonts w:ascii="Times New Roman" w:hAnsi="Times New Roman" w:cs="Times New Roman"/>
          <w:sz w:val="24"/>
          <w:szCs w:val="24"/>
        </w:rPr>
      </w:pPr>
      <w:r>
        <w:rPr>
          <w:rFonts w:cs="Times New Roman" w:ascii="Times New Roman" w:hAnsi="Times New Roman"/>
          <w:sz w:val="24"/>
          <w:szCs w:val="24"/>
        </w:rPr>
        <w:t>Генеральный план представляется в электронном виде. Проект разработан в программной среде ГИС «MapInfo» в составе электронных графических слоёв и связанной с ними атрибутивной базы данных.</w:t>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rPr>
          <w:rFonts w:ascii="Times New Roman" w:hAnsi="Times New Roman" w:cs="Times New Roman"/>
        </w:rPr>
      </w:pPr>
      <w:r>
        <w:rPr>
          <w:rFonts w:cs="Times New Roman" w:ascii="Times New Roman" w:hAnsi="Times New Roman"/>
        </w:rPr>
      </w:r>
    </w:p>
    <w:p>
      <w:pPr>
        <w:pStyle w:val="Normal"/>
        <w:spacing w:lineRule="auto" w:line="240" w:before="0" w:after="0"/>
        <w:ind w:firstLine="709"/>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40" w:before="0" w:after="0"/>
        <w:ind w:firstLine="709"/>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40" w:before="0" w:after="0"/>
        <w:ind w:firstLine="709"/>
        <w:jc w:val="both"/>
        <w:rPr>
          <w:rFonts w:ascii="Times New Roman" w:hAnsi="Times New Roman" w:cs="Times New Roman"/>
          <w:sz w:val="28"/>
          <w:szCs w:val="28"/>
        </w:rPr>
      </w:pPr>
      <w:r>
        <w:rPr>
          <w:rFonts w:cs="Times New Roman" w:ascii="Times New Roman" w:hAnsi="Times New Roman"/>
          <w:sz w:val="28"/>
          <w:szCs w:val="28"/>
        </w:rPr>
      </w:r>
    </w:p>
    <w:p>
      <w:pPr>
        <w:pStyle w:val="Normal"/>
        <w:spacing w:lineRule="auto" w:line="240" w:before="0" w:after="0"/>
        <w:ind w:firstLine="709"/>
        <w:jc w:val="both"/>
        <w:rPr>
          <w:rFonts w:ascii="Times New Roman" w:hAnsi="Times New Roman" w:cs="Times New Roman"/>
          <w:sz w:val="28"/>
          <w:szCs w:val="28"/>
        </w:rPr>
      </w:pPr>
      <w:r>
        <w:rPr>
          <w:rFonts w:cs="Times New Roman" w:ascii="Times New Roman" w:hAnsi="Times New Roman"/>
          <w:sz w:val="28"/>
          <w:szCs w:val="28"/>
        </w:rPr>
      </w:r>
    </w:p>
    <w:p>
      <w:pPr>
        <w:pStyle w:val="Normal"/>
        <w:tabs>
          <w:tab w:val="clear" w:pos="709"/>
          <w:tab w:val="left" w:pos="6612" w:leader="none"/>
        </w:tabs>
        <w:spacing w:lineRule="auto" w:line="240" w:before="240" w:after="0"/>
        <w:rPr>
          <w:rFonts w:ascii="Times New Roman" w:hAnsi="Times New Roman" w:cs="Times New Roman"/>
          <w:b/>
          <w:b/>
          <w:color w:val="000000"/>
          <w:sz w:val="28"/>
          <w:szCs w:val="24"/>
        </w:rPr>
      </w:pPr>
      <w:r>
        <w:rPr>
          <w:rFonts w:cs="Times New Roman" w:ascii="Times New Roman" w:hAnsi="Times New Roman"/>
          <w:b/>
          <w:color w:val="000000"/>
          <w:sz w:val="28"/>
          <w:szCs w:val="24"/>
        </w:rPr>
        <w:tab/>
      </w:r>
    </w:p>
    <w:p>
      <w:pPr>
        <w:pStyle w:val="Normal"/>
        <w:spacing w:lineRule="auto" w:line="240" w:before="240" w:after="0"/>
        <w:jc w:val="center"/>
        <w:rPr>
          <w:rFonts w:ascii="Times New Roman" w:hAnsi="Times New Roman" w:cs="Times New Roman"/>
          <w:b/>
          <w:b/>
          <w:color w:val="000000"/>
          <w:sz w:val="28"/>
          <w:szCs w:val="24"/>
        </w:rPr>
      </w:pPr>
      <w:r>
        <w:rPr>
          <w:rFonts w:cs="Times New Roman" w:ascii="Times New Roman" w:hAnsi="Times New Roman"/>
          <w:b/>
          <w:color w:val="000000"/>
          <w:sz w:val="28"/>
          <w:szCs w:val="24"/>
        </w:rPr>
      </w:r>
    </w:p>
    <w:p>
      <w:pPr>
        <w:pStyle w:val="Normal"/>
        <w:rPr>
          <w:rFonts w:ascii="Times New Roman" w:hAnsi="Times New Roman" w:cs="Times New Roman"/>
          <w:b/>
          <w:b/>
          <w:bCs/>
          <w:sz w:val="24"/>
          <w:szCs w:val="24"/>
        </w:rPr>
      </w:pPr>
      <w:r>
        <w:rPr>
          <w:rFonts w:cs="Times New Roman" w:ascii="Times New Roman" w:hAnsi="Times New Roman"/>
          <w:b/>
          <w:bCs/>
          <w:sz w:val="24"/>
          <w:szCs w:val="24"/>
        </w:rPr>
      </w:r>
    </w:p>
    <w:p>
      <w:pPr>
        <w:pStyle w:val="Normal"/>
        <w:rPr>
          <w:rFonts w:ascii="Times New Roman" w:hAnsi="Times New Roman" w:cs="Times New Roman"/>
          <w:b/>
          <w:b/>
          <w:bCs/>
          <w:sz w:val="24"/>
          <w:szCs w:val="24"/>
        </w:rPr>
      </w:pPr>
      <w:r>
        <w:rPr>
          <w:rFonts w:cs="Times New Roman" w:ascii="Times New Roman" w:hAnsi="Times New Roman"/>
          <w:b/>
          <w:bCs/>
          <w:sz w:val="24"/>
          <w:szCs w:val="24"/>
        </w:rPr>
      </w:r>
    </w:p>
    <w:p>
      <w:pPr>
        <w:pStyle w:val="Normal"/>
        <w:rPr>
          <w:rFonts w:ascii="Times New Roman" w:hAnsi="Times New Roman" w:cs="Times New Roman"/>
          <w:b/>
          <w:b/>
          <w:bCs/>
          <w:sz w:val="24"/>
          <w:szCs w:val="24"/>
        </w:rPr>
      </w:pPr>
      <w:r>
        <w:rPr>
          <w:rFonts w:cs="Times New Roman" w:ascii="Times New Roman" w:hAnsi="Times New Roman"/>
          <w:b/>
          <w:bCs/>
          <w:sz w:val="24"/>
          <w:szCs w:val="24"/>
        </w:rPr>
      </w:r>
    </w:p>
    <w:p>
      <w:pPr>
        <w:pStyle w:val="Normal"/>
        <w:rPr>
          <w:rFonts w:ascii="Times New Roman" w:hAnsi="Times New Roman" w:cs="Times New Roman"/>
          <w:b/>
          <w:b/>
          <w:bCs/>
          <w:sz w:val="24"/>
          <w:szCs w:val="24"/>
        </w:rPr>
      </w:pPr>
      <w:r>
        <w:rPr>
          <w:rFonts w:cs="Times New Roman" w:ascii="Times New Roman" w:hAnsi="Times New Roman"/>
          <w:b/>
          <w:bCs/>
          <w:sz w:val="24"/>
          <w:szCs w:val="24"/>
        </w:rPr>
      </w:r>
    </w:p>
    <w:p>
      <w:pPr>
        <w:pStyle w:val="Normal"/>
        <w:rPr>
          <w:rFonts w:ascii="Times New Roman" w:hAnsi="Times New Roman" w:cs="Times New Roman"/>
          <w:b/>
          <w:b/>
          <w:bCs/>
          <w:sz w:val="24"/>
          <w:szCs w:val="24"/>
        </w:rPr>
      </w:pPr>
      <w:r>
        <w:rPr>
          <w:rFonts w:cs="Times New Roman" w:ascii="Times New Roman" w:hAnsi="Times New Roman"/>
          <w:b/>
          <w:bCs/>
          <w:sz w:val="24"/>
          <w:szCs w:val="24"/>
        </w:rPr>
      </w:r>
    </w:p>
    <w:p>
      <w:pPr>
        <w:pStyle w:val="Normal"/>
        <w:spacing w:lineRule="auto" w:line="360" w:before="0" w:after="0"/>
        <w:contextualSpacing/>
        <w:jc w:val="center"/>
        <w:rPr>
          <w:rFonts w:ascii="Times New Roman" w:hAnsi="Times New Roman" w:cs="Times New Roman"/>
          <w:b/>
          <w:b/>
          <w:bCs/>
          <w:color w:val="943634" w:themeColor="accent2" w:themeShade="bf"/>
          <w:sz w:val="24"/>
          <w:szCs w:val="24"/>
        </w:rPr>
      </w:pPr>
      <w:r>
        <w:rPr>
          <w:rFonts w:cs="Times New Roman" w:ascii="Times New Roman" w:hAnsi="Times New Roman"/>
          <w:b/>
          <w:bCs/>
          <w:sz w:val="24"/>
          <w:szCs w:val="24"/>
        </w:rPr>
        <w:t>2 ТОМ. Часть Б (графические материалы)</w:t>
      </w:r>
    </w:p>
    <w:p>
      <w:pPr>
        <w:pStyle w:val="PlainText"/>
        <w:spacing w:lineRule="auto" w:line="36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Содержание 2 тома (часть А)</w:t>
      </w:r>
    </w:p>
    <w:p>
      <w:pPr>
        <w:pStyle w:val="PlainText"/>
        <w:spacing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ВВЕДЕНИЕ</w:t>
        <w:tab/>
        <w:t>6</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сельского поселения</w:t>
        <w:tab/>
        <w:t>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 Обоснование выбранного варианта размещения объектов местного значения сельского поселения на основе анализа использования территорий сельского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tab/>
        <w:t>8</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2.1 Общие сведения о сельском поселении</w:t>
        <w:tab/>
        <w:t>8</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2.2 Природные условия</w:t>
        <w:tab/>
        <w:t>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2.3 Динамика численности населения</w:t>
        <w:tab/>
        <w:t>12</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2.4 Социальная инфраструктура</w:t>
        <w:tab/>
        <w:t>12</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2.5 Транспортная инфраструктура</w:t>
        <w:tab/>
        <w:t>14</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2.6 Инженерная инфраструктура</w:t>
        <w:tab/>
        <w:t>15</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Связь</w:t>
        <w:tab/>
        <w:t>16</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Водоснабжение</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Водоотведение</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Теплоснабжение</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Газоснабжение</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Электроснабжение</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Санитарная очистка</w:t>
        <w:tab/>
        <w:t>17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2.7 Зоны с особыми условиями использования территории</w:t>
        <w:tab/>
        <w:t>19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2.8 Территории объектов культурного наследия</w:t>
        <w:tab/>
        <w:t>20</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2.9 Особо охраняемые природные территории</w:t>
        <w:tab/>
        <w:t>22</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2.10 Архитектурно-планировочная организация и функциональное зонирование</w:t>
        <w:tab/>
        <w:t>23</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2.10.1 Развитие и совершенствование функционального зонирования</w:t>
        <w:tab/>
        <w:t>24</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3. Оценка возможного влияния планируемых для размещения объектов местного значения сельского поселения на комплексное развитие этих территорий</w:t>
        <w:tab/>
        <w:t>27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сельского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tab/>
        <w:t>28</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сельского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tab/>
        <w:t>29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 Перечень и характеристика основных факторов риска возникновения чрезвычайных ситуаций природного и техногенного характера</w:t>
        <w:tab/>
        <w:t>29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6.1 Чрезвычайные ситуации природного характера</w:t>
        <w:tab/>
        <w:t>34</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6.1.1 Опасности, обусловленные природными пожарами</w:t>
        <w:tab/>
        <w:t>34</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6.1.2 Геологические опасные явления</w:t>
        <w:tab/>
        <w:t>35</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6.1.3 Гидрологические опасные явления</w:t>
        <w:tab/>
        <w:t>36</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6.1.4 Опасные метеорологические явления и процессы</w:t>
        <w:tab/>
        <w:t>37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6.2 Чрезвычайные ситуации техногенного характера</w:t>
        <w:tab/>
        <w:t>38</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6.2.1 Промышленные аварии и катастрофы</w:t>
        <w:tab/>
        <w:t>39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6.2.2 Опасности, обусловленные транспортными авариями</w:t>
        <w:tab/>
        <w:t>41</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6.2.3 Опасности, обусловленные бытовыми пожарами</w:t>
        <w:tab/>
        <w:t>43</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6.2.4 Аварии на сетях и коммунальных объектах</w:t>
        <w:tab/>
        <w:t>44</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 xml:space="preserve">6.2.5 Биолого-социальные опасности, мероприятия по консервации </w:t>
      </w:r>
      <w:bookmarkStart w:id="0" w:name="_GoBack"/>
      <w:r>
        <w:rPr>
          <w:rFonts w:cs="Times New Roman" w:ascii="Times New Roman" w:hAnsi="Times New Roman"/>
          <w:color w:val="000000" w:themeColor="text1"/>
          <w:sz w:val="24"/>
          <w:szCs w:val="24"/>
        </w:rPr>
        <w:t>скотомогиль</w:t>
      </w:r>
      <w:bookmarkEnd w:id="0"/>
      <w:r>
        <w:rPr>
          <w:rFonts w:cs="Times New Roman" w:ascii="Times New Roman" w:hAnsi="Times New Roman"/>
          <w:color w:val="000000" w:themeColor="text1"/>
          <w:sz w:val="24"/>
          <w:szCs w:val="24"/>
        </w:rPr>
        <w:t>ников</w:t>
        <w:tab/>
        <w:t>45</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6.3 Мероприятия по предотвращению чрезвычайных ситуаций природного, техногенного и биологического характера</w:t>
        <w:tab/>
        <w:t>46</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 Перечень мероприятий по обеспечению пожарной безопасности</w:t>
        <w:tab/>
        <w:t>47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6.4.1 Наружное противопожарное водоснабжение</w:t>
        <w:tab/>
        <w:t>47</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6.4.2 Проезды и подъезды к зданиям, сооружениям и строениям</w:t>
        <w:tab/>
        <w:t>49</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6.4.3 Противопожарные расстояния между зданиями, сооружениями и строениями</w:t>
        <w:tab/>
        <w:t>50</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сельского поселения, садоводческих, огороднических и дачных некоммерческих объединений граждан, на предприятиях</w:t>
        <w:tab/>
        <w:t>52</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6.4.5 Рекомендации по противопожарным мероприятиям для объектов историко-культурного наследия</w:t>
        <w:tab/>
        <w:t>53</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7. Перечень земельных участков, которые включаются в границы населенных пунктов, входящих в состав сельского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tab/>
        <w:t>53</w:t>
      </w:r>
    </w:p>
    <w:p>
      <w:pPr>
        <w:pStyle w:val="PlainText"/>
        <w:tabs>
          <w:tab w:val="clear" w:pos="709"/>
          <w:tab w:val="right" w:pos="9780" w:leader="dot"/>
        </w:tabs>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8. Сведения об утвержденных предметах охраны и границах территорий исторических сельских поселений федерального значения и исторических сельских поселений регионального                  значения</w:t>
        <w:tab/>
        <w:t>53</w:t>
      </w:r>
    </w:p>
    <w:p>
      <w:pPr>
        <w:pStyle w:val="Normal"/>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r>
        <w:br w:type="page"/>
      </w:r>
    </w:p>
    <w:p>
      <w:pPr>
        <w:pStyle w:val="Normal"/>
        <w:jc w:val="center"/>
        <w:rPr>
          <w:rFonts w:ascii="Times New Roman" w:hAnsi="Times New Roman" w:eastAsia="Times New Roman" w:cs="Times New Roman"/>
          <w:color w:val="000000" w:themeColor="text1"/>
          <w:sz w:val="24"/>
          <w:szCs w:val="24"/>
        </w:rPr>
      </w:pPr>
      <w:r>
        <w:rPr>
          <w:rFonts w:cs="Times New Roman" w:ascii="Times New Roman" w:hAnsi="Times New Roman"/>
          <w:color w:val="000000" w:themeColor="text1"/>
          <w:sz w:val="24"/>
          <w:szCs w:val="24"/>
        </w:rPr>
        <w:t>2 ТОМ. Часть Б (Графические материалы)</w:t>
      </w:r>
    </w:p>
    <w:tbl>
      <w:tblPr>
        <w:tblW w:w="9640" w:type="dxa"/>
        <w:jc w:val="left"/>
        <w:tblInd w:w="108" w:type="dxa"/>
        <w:tblCellMar>
          <w:top w:w="0" w:type="dxa"/>
          <w:left w:w="108" w:type="dxa"/>
          <w:bottom w:w="0" w:type="dxa"/>
          <w:right w:w="108" w:type="dxa"/>
        </w:tblCellMar>
        <w:tblLook w:firstRow="1" w:noVBand="0" w:lastRow="0" w:firstColumn="1" w:lastColumn="0" w:noHBand="0" w:val="00a0"/>
      </w:tblPr>
      <w:tblGrid>
        <w:gridCol w:w="850"/>
        <w:gridCol w:w="6979"/>
        <w:gridCol w:w="1811"/>
      </w:tblGrid>
      <w:tr>
        <w:trPr>
          <w:trHeight w:val="394" w:hRule="atLeast"/>
        </w:trPr>
        <w:tc>
          <w:tcPr>
            <w:tcW w:w="850"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ind w:right="-108" w:hanging="0"/>
              <w:contextualSpacing/>
              <w:rPr>
                <w:rFonts w:ascii="Times New Roman" w:hAnsi="Times New Roman" w:cs="Times New Roman"/>
                <w:b/>
                <w:b/>
                <w:bCs/>
                <w:color w:val="000000" w:themeColor="text1"/>
                <w:sz w:val="24"/>
                <w:szCs w:val="24"/>
              </w:rPr>
            </w:pPr>
            <w:r>
              <w:rPr>
                <w:rFonts w:cs="Times New Roman" w:ascii="Times New Roman" w:hAnsi="Times New Roman"/>
                <w:b/>
                <w:bCs/>
                <w:color w:val="000000" w:themeColor="text1"/>
                <w:sz w:val="24"/>
                <w:szCs w:val="24"/>
              </w:rPr>
              <w:t xml:space="preserve">№ </w:t>
            </w:r>
            <w:r>
              <w:rPr>
                <w:rFonts w:cs="Times New Roman" w:ascii="Times New Roman" w:hAnsi="Times New Roman"/>
                <w:b/>
                <w:bCs/>
                <w:color w:val="000000" w:themeColor="text1"/>
                <w:sz w:val="24"/>
                <w:szCs w:val="24"/>
              </w:rPr>
              <w:t>п/п</w:t>
            </w:r>
          </w:p>
        </w:tc>
        <w:tc>
          <w:tcPr>
            <w:tcW w:w="697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center"/>
              <w:rPr>
                <w:rFonts w:ascii="Times New Roman" w:hAnsi="Times New Roman" w:cs="Times New Roman"/>
                <w:b/>
                <w:b/>
                <w:bCs/>
                <w:color w:val="000000" w:themeColor="text1"/>
                <w:sz w:val="24"/>
                <w:szCs w:val="24"/>
              </w:rPr>
            </w:pPr>
            <w:r>
              <w:rPr>
                <w:rFonts w:cs="Times New Roman" w:ascii="Times New Roman" w:hAnsi="Times New Roman"/>
                <w:b/>
                <w:bCs/>
                <w:color w:val="000000" w:themeColor="text1"/>
                <w:sz w:val="24"/>
                <w:szCs w:val="24"/>
              </w:rPr>
              <w:t>НАИМЕНОВАНИЕ СХЕМЫ</w:t>
            </w:r>
          </w:p>
        </w:tc>
        <w:tc>
          <w:tcPr>
            <w:tcW w:w="1811"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center"/>
              <w:rPr>
                <w:rFonts w:ascii="Times New Roman" w:hAnsi="Times New Roman" w:cs="Times New Roman"/>
                <w:b/>
                <w:b/>
                <w:bCs/>
                <w:color w:val="000000" w:themeColor="text1"/>
                <w:sz w:val="24"/>
                <w:szCs w:val="24"/>
              </w:rPr>
            </w:pPr>
            <w:r>
              <w:rPr>
                <w:rFonts w:cs="Times New Roman" w:ascii="Times New Roman" w:hAnsi="Times New Roman"/>
                <w:b/>
                <w:bCs/>
                <w:color w:val="000000" w:themeColor="text1"/>
                <w:sz w:val="24"/>
                <w:szCs w:val="24"/>
              </w:rPr>
              <w:t>МАСШТАБ</w:t>
            </w:r>
          </w:p>
        </w:tc>
      </w:tr>
      <w:tr>
        <w:trPr>
          <w:trHeight w:val="1058" w:hRule="atLeast"/>
        </w:trPr>
        <w:tc>
          <w:tcPr>
            <w:tcW w:w="850"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numPr>
                <w:ilvl w:val="0"/>
                <w:numId w:val="2"/>
              </w:numPr>
              <w:spacing w:lineRule="auto" w:line="240" w:before="0" w:after="0"/>
              <w:ind w:left="34" w:right="-108" w:hanging="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c>
          <w:tcPr>
            <w:tcW w:w="697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both"/>
              <w:rPr>
                <w:rFonts w:ascii="Times New Roman" w:hAnsi="Times New Roman" w:cs="Times New Roman"/>
                <w:sz w:val="24"/>
                <w:szCs w:val="24"/>
              </w:rPr>
            </w:pPr>
            <w:r>
              <w:rPr>
                <w:rFonts w:cs="Times New Roman" w:ascii="Times New Roman" w:hAnsi="Times New Roman"/>
                <w:sz w:val="24"/>
                <w:szCs w:val="24"/>
              </w:rPr>
              <w:t>Материалы по обоснованию генерального плана в виде карт.</w:t>
            </w:r>
          </w:p>
          <w:p>
            <w:pPr>
              <w:pStyle w:val="Normal"/>
              <w:spacing w:lineRule="auto" w:line="240" w:before="0" w:after="0"/>
              <w:contextualSpacing/>
              <w:jc w:val="both"/>
              <w:rPr/>
            </w:pPr>
            <w:r>
              <w:rPr>
                <w:rFonts w:cs="Times New Roman" w:ascii="Times New Roman" w:hAnsi="Times New Roman"/>
                <w:sz w:val="24"/>
                <w:szCs w:val="24"/>
              </w:rPr>
              <w:t>Карта границ зон с особыми условиями использования территории.</w:t>
            </w:r>
          </w:p>
        </w:tc>
        <w:tc>
          <w:tcPr>
            <w:tcW w:w="1811"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1:5 000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1:2 000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r>
      <w:tr>
        <w:trPr>
          <w:trHeight w:val="394" w:hRule="atLeast"/>
        </w:trPr>
        <w:tc>
          <w:tcPr>
            <w:tcW w:w="850"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numPr>
                <w:ilvl w:val="0"/>
                <w:numId w:val="2"/>
              </w:numPr>
              <w:spacing w:lineRule="auto" w:line="240" w:before="0" w:after="0"/>
              <w:ind w:left="34" w:right="-108" w:hanging="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c>
          <w:tcPr>
            <w:tcW w:w="697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both"/>
              <w:rPr>
                <w:rFonts w:ascii="Times New Roman" w:hAnsi="Times New Roman" w:cs="Times New Roman"/>
                <w:color w:val="000000" w:themeColor="text1"/>
                <w:sz w:val="24"/>
                <w:szCs w:val="24"/>
              </w:rPr>
            </w:pPr>
            <w:r>
              <w:rPr>
                <w:rFonts w:cs="Times New Roman" w:ascii="Times New Roman" w:hAnsi="Times New Roman"/>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11"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1:5 000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1:2 000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r>
      <w:tr>
        <w:trPr>
          <w:trHeight w:val="394" w:hRule="atLeast"/>
        </w:trPr>
        <w:tc>
          <w:tcPr>
            <w:tcW w:w="850"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numPr>
                <w:ilvl w:val="0"/>
                <w:numId w:val="2"/>
              </w:numPr>
              <w:spacing w:lineRule="auto" w:line="240" w:before="0" w:after="0"/>
              <w:ind w:left="34" w:right="-108" w:hanging="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c>
          <w:tcPr>
            <w:tcW w:w="6979"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both"/>
              <w:rPr>
                <w:rFonts w:ascii="Times New Roman" w:hAnsi="Times New Roman" w:cs="Times New Roman"/>
                <w:sz w:val="24"/>
                <w:szCs w:val="24"/>
              </w:rPr>
            </w:pPr>
            <w:r>
              <w:rPr>
                <w:rFonts w:cs="Times New Roman" w:ascii="Times New Roman" w:hAnsi="Times New Roman"/>
                <w:sz w:val="24"/>
                <w:szCs w:val="24"/>
              </w:rPr>
              <w:t>Материалы по обоснованию генерального плана в виде карт.</w:t>
            </w:r>
          </w:p>
          <w:p>
            <w:pPr>
              <w:pStyle w:val="Normal"/>
              <w:spacing w:lineRule="auto" w:line="240" w:before="0" w:after="0"/>
              <w:contextualSpacing/>
              <w:jc w:val="both"/>
              <w:rPr>
                <w:rFonts w:ascii="Times New Roman" w:hAnsi="Times New Roman" w:cs="Times New Roman"/>
                <w:sz w:val="24"/>
                <w:szCs w:val="24"/>
              </w:rPr>
            </w:pPr>
            <w:r>
              <w:rPr>
                <w:rFonts w:cs="Times New Roman" w:ascii="Times New Roman" w:hAnsi="Times New Roman"/>
                <w:sz w:val="24"/>
                <w:szCs w:val="24"/>
              </w:rPr>
              <w:t>Карта категорий земель</w:t>
            </w:r>
          </w:p>
        </w:tc>
        <w:tc>
          <w:tcPr>
            <w:tcW w:w="1811"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1:5 000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t>1:2 000</w:t>
            </w:r>
          </w:p>
          <w:p>
            <w:pPr>
              <w:pStyle w:val="Normal"/>
              <w:spacing w:lineRule="auto" w:line="240" w:before="0" w:after="0"/>
              <w:contextualSpacing/>
              <w:jc w:val="center"/>
              <w:rPr>
                <w:rFonts w:ascii="Times New Roman" w:hAnsi="Times New Roman" w:cs="Times New Roman"/>
                <w:color w:val="000000" w:themeColor="text1"/>
                <w:sz w:val="24"/>
                <w:szCs w:val="24"/>
              </w:rPr>
            </w:pPr>
            <w:r>
              <w:rPr>
                <w:rFonts w:cs="Times New Roman" w:ascii="Times New Roman" w:hAnsi="Times New Roman"/>
                <w:color w:val="000000" w:themeColor="text1"/>
                <w:sz w:val="24"/>
                <w:szCs w:val="24"/>
              </w:rPr>
            </w:r>
          </w:p>
        </w:tc>
      </w:tr>
    </w:tbl>
    <w:p>
      <w:pPr>
        <w:pStyle w:val="Normal"/>
        <w:spacing w:before="0" w:after="0"/>
        <w:jc w:val="center"/>
        <w:rPr>
          <w:rFonts w:ascii="Times New Roman" w:hAnsi="Times New Roman" w:cs="Times New Roman"/>
          <w:b/>
          <w:b/>
          <w:sz w:val="28"/>
          <w:szCs w:val="28"/>
        </w:rPr>
      </w:pPr>
      <w:r>
        <w:rPr>
          <w:rFonts w:cs="Times New Roman" w:ascii="Times New Roman" w:hAnsi="Times New Roman"/>
          <w:b/>
          <w:sz w:val="28"/>
          <w:szCs w:val="28"/>
        </w:rPr>
      </w:r>
    </w:p>
    <w:p>
      <w:pPr>
        <w:pStyle w:val="Normal"/>
        <w:jc w:val="center"/>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p>
    <w:p>
      <w:pPr>
        <w:pStyle w:val="Normal"/>
        <w:rPr>
          <w:rFonts w:ascii="Times New Roman" w:hAnsi="Times New Roman" w:cs="Times New Roman"/>
        </w:rPr>
      </w:pPr>
      <w:r>
        <w:rPr>
          <w:rFonts w:cs="Times New Roman" w:ascii="Times New Roman" w:hAnsi="Times New Roman"/>
        </w:rPr>
      </w:r>
      <w:r>
        <w:br w:type="page"/>
      </w:r>
    </w:p>
    <w:p>
      <w:pPr>
        <w:pStyle w:val="S6"/>
        <w:spacing w:lineRule="auto" w:line="276"/>
        <w:ind w:firstLine="851"/>
        <w:rPr>
          <w:b/>
          <w:b/>
          <w:color w:val="365F91" w:themeColor="accent1" w:themeShade="bf"/>
        </w:rPr>
      </w:pPr>
      <w:r>
        <w:rPr>
          <w:b/>
          <w:color w:val="365F91" w:themeColor="accent1" w:themeShade="bf"/>
        </w:rPr>
        <w:t>ВВЕДЕНИЕ</w:t>
      </w:r>
    </w:p>
    <w:p>
      <w:pPr>
        <w:pStyle w:val="S6"/>
        <w:spacing w:lineRule="auto" w:line="276"/>
        <w:ind w:firstLine="851"/>
        <w:rPr/>
      </w:pPr>
      <w:r>
        <w:rPr/>
      </w:r>
    </w:p>
    <w:p>
      <w:pPr>
        <w:pStyle w:val="S6"/>
        <w:spacing w:lineRule="auto" w:line="276"/>
        <w:ind w:firstLine="851"/>
        <w:rPr/>
      </w:pPr>
      <w:r>
        <w:rPr/>
        <w:t xml:space="preserve">Цель работы: Внесение изменений </w:t>
      </w:r>
      <w:r>
        <w:rPr>
          <w:rFonts w:eastAsia="Calibri"/>
          <w:color w:val="000000"/>
          <w:lang w:eastAsia="en-US"/>
        </w:rPr>
        <w:t xml:space="preserve">в генеральный план Татарско-Тавлинского сельского поселения Лямбирского </w:t>
      </w:r>
      <w:r>
        <w:rPr/>
        <w:t xml:space="preserve">муниципального района Республики Мордовия в соответствии с Градостроительным кодексом Российской Федерации от 29.12.2004 № 190-ФЗ и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w:t>
      </w:r>
    </w:p>
    <w:p>
      <w:pPr>
        <w:pStyle w:val="S6"/>
        <w:spacing w:lineRule="auto" w:line="276"/>
        <w:ind w:firstLine="851"/>
        <w:rPr>
          <w:rFonts w:eastAsia="Calibri"/>
          <w:lang w:eastAsia="en-US"/>
        </w:rPr>
      </w:pPr>
      <w:r>
        <w:rPr>
          <w:rFonts w:eastAsia="Calibri"/>
          <w:lang w:eastAsia="en-US"/>
        </w:rPr>
        <w:t>Причинами проведения работ являются:</w:t>
      </w:r>
    </w:p>
    <w:p>
      <w:pPr>
        <w:pStyle w:val="S6"/>
        <w:spacing w:lineRule="auto" w:line="276"/>
        <w:ind w:firstLine="851"/>
        <w:rPr>
          <w:rFonts w:eastAsia="Calibri"/>
          <w:lang w:eastAsia="en-US"/>
        </w:rPr>
      </w:pPr>
      <w:r>
        <w:rPr>
          <w:rFonts w:eastAsia="Calibri"/>
          <w:lang w:eastAsia="en-US"/>
        </w:rPr>
        <w:t>Изменение действующего законодательства в отношении градостроительной деятельности.</w:t>
      </w:r>
    </w:p>
    <w:p>
      <w:pPr>
        <w:pStyle w:val="S6"/>
        <w:spacing w:lineRule="auto" w:line="276"/>
        <w:ind w:firstLine="851"/>
        <w:rPr>
          <w:rFonts w:eastAsia="Calibri"/>
          <w:lang w:eastAsia="en-US"/>
        </w:rPr>
      </w:pPr>
      <w:r>
        <w:rPr>
          <w:rFonts w:eastAsia="Calibri"/>
          <w:lang w:eastAsia="en-US"/>
        </w:rPr>
        <w:t>Уточнение функционального зонирования территории</w:t>
      </w:r>
      <w:r>
        <w:rPr/>
        <w:t xml:space="preserve"> </w:t>
      </w:r>
      <w:r>
        <w:rPr>
          <w:rFonts w:eastAsia="Calibri"/>
          <w:lang w:eastAsia="en-US"/>
        </w:rPr>
        <w:t>населенного пункта и муниципального образования с учётом поступивших предложений от администрации муниципального образования и заинтересованных лиц.</w:t>
      </w:r>
    </w:p>
    <w:p>
      <w:pPr>
        <w:pStyle w:val="S6"/>
        <w:spacing w:lineRule="auto" w:line="276"/>
        <w:ind w:firstLine="851"/>
        <w:rPr>
          <w:rFonts w:eastAsia="Calibri"/>
          <w:lang w:eastAsia="en-US"/>
        </w:rPr>
      </w:pPr>
      <w:r>
        <w:rPr>
          <w:rFonts w:eastAsia="Calibri"/>
          <w:lang w:eastAsia="en-US"/>
        </w:rPr>
        <w:t>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Республики Мордовия (с изменениями и дополнениями, вступившими в силу на момент заключения договора).</w:t>
      </w:r>
    </w:p>
    <w:p>
      <w:pPr>
        <w:pStyle w:val="S6"/>
        <w:spacing w:lineRule="auto" w:line="276"/>
        <w:ind w:firstLine="851"/>
        <w:rPr>
          <w:rFonts w:eastAsia="Calibri"/>
          <w:color w:val="000000"/>
          <w:lang w:eastAsia="en-US"/>
        </w:rPr>
      </w:pPr>
      <w:r>
        <w:rPr>
          <w:rFonts w:eastAsia="Calibri"/>
          <w:color w:val="000000"/>
          <w:lang w:eastAsia="en-US"/>
        </w:rPr>
        <w:t>Для достижения целей необходимо выполнение следующих задач:</w:t>
      </w:r>
    </w:p>
    <w:p>
      <w:pPr>
        <w:pStyle w:val="S6"/>
        <w:spacing w:lineRule="auto" w:line="276"/>
        <w:ind w:firstLine="851"/>
        <w:rPr>
          <w:rFonts w:eastAsia="Calibri"/>
          <w:lang w:eastAsia="en-US"/>
        </w:rPr>
      </w:pPr>
      <w:r>
        <w:rPr>
          <w:rFonts w:eastAsia="Calibri"/>
          <w:lang w:eastAsia="en-US"/>
        </w:rPr>
        <w:t>1. О</w:t>
      </w:r>
      <w:r>
        <w:rPr/>
        <w:t>пределить функциональное назначение Татарско-Тавлинского сельского поселения в соответствии с современным и перспективным развитием территорий</w:t>
      </w:r>
      <w:r>
        <w:rPr>
          <w:rFonts w:eastAsia="Calibri"/>
          <w:lang w:eastAsia="en-US"/>
        </w:rPr>
        <w:t>.</w:t>
      </w:r>
    </w:p>
    <w:p>
      <w:pPr>
        <w:pStyle w:val="S6"/>
        <w:spacing w:lineRule="auto" w:line="276"/>
        <w:ind w:firstLine="851"/>
        <w:rPr>
          <w:rFonts w:eastAsia="Calibri"/>
          <w:lang w:eastAsia="en-US"/>
        </w:rPr>
      </w:pPr>
      <w:r>
        <w:rPr>
          <w:rFonts w:eastAsia="Calibri"/>
          <w:lang w:eastAsia="en-US"/>
        </w:rPr>
        <w:t xml:space="preserve">2. Разработать Том 1 Основное положение в соответствии с Градостроительным кодексом </w:t>
      </w:r>
      <w:r>
        <w:rPr/>
        <w:t>Российской Федерации от 29.12.2004 № 190-ФЗ (ред. от 01.05.2024)</w:t>
      </w:r>
      <w:r>
        <w:rPr>
          <w:rFonts w:eastAsia="Calibri"/>
          <w:lang w:eastAsia="en-US"/>
        </w:rPr>
        <w:t>.</w:t>
      </w:r>
    </w:p>
    <w:p>
      <w:pPr>
        <w:pStyle w:val="S6"/>
        <w:spacing w:lineRule="auto" w:line="276"/>
        <w:ind w:firstLine="851"/>
        <w:rPr>
          <w:rFonts w:eastAsia="Calibri"/>
          <w:lang w:eastAsia="en-US"/>
        </w:rPr>
      </w:pPr>
      <w:r>
        <w:rPr>
          <w:rFonts w:eastAsia="Calibri"/>
          <w:lang w:eastAsia="en-US"/>
        </w:rPr>
        <w:t>3. Графические материалы оформить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pPr>
        <w:pStyle w:val="S6"/>
        <w:spacing w:lineRule="auto" w:line="276"/>
        <w:ind w:firstLine="851"/>
        <w:rPr>
          <w:rFonts w:eastAsia="Calibri"/>
          <w:color w:val="000000"/>
          <w:lang w:eastAsia="en-US"/>
        </w:rPr>
      </w:pPr>
      <w:r>
        <w:rPr>
          <w:rFonts w:eastAsia="Calibri"/>
          <w:color w:val="000000"/>
          <w:lang w:eastAsia="en-US"/>
        </w:rPr>
        <w:t>Предыдущая градостроительная документация Татарско-Тавлинского сельского поселения Лямбирского муниципального района Республики Мордовия:</w:t>
      </w:r>
    </w:p>
    <w:p>
      <w:pPr>
        <w:pStyle w:val="S6"/>
        <w:numPr>
          <w:ilvl w:val="0"/>
          <w:numId w:val="6"/>
        </w:numPr>
        <w:spacing w:lineRule="auto" w:line="276"/>
        <w:ind w:left="0" w:firstLine="851"/>
        <w:rPr>
          <w:lang w:eastAsia="ar-SA"/>
        </w:rPr>
      </w:pPr>
      <w:r>
        <w:rPr>
          <w:lang w:eastAsia="ar-SA"/>
        </w:rPr>
        <w:t>Генеральный план и правила землепользования и застройки Татарско-Тавлинского сельского поселения Лямбирского муниципального района Республики Мордовия.</w:t>
      </w:r>
    </w:p>
    <w:p>
      <w:pPr>
        <w:pStyle w:val="S6"/>
        <w:spacing w:lineRule="auto" w:line="276"/>
        <w:ind w:firstLine="851"/>
        <w:rPr>
          <w:rFonts w:eastAsia="Calibri"/>
          <w:lang w:eastAsia="en-US"/>
        </w:rPr>
      </w:pPr>
      <w:r>
        <w:rPr>
          <w:rFonts w:eastAsia="Calibri"/>
          <w:spacing w:val="-6"/>
          <w:lang w:eastAsia="en-US"/>
        </w:rPr>
        <w:t xml:space="preserve">Настоящий проект </w:t>
      </w:r>
      <w:r>
        <w:rPr>
          <w:rFonts w:eastAsia="Calibri"/>
          <w:lang w:eastAsia="en-US"/>
        </w:rPr>
        <w:t>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Татарско-Тавлинского сельского поселения Лямбирского муниципального района Республики Мордовия.</w:t>
      </w:r>
    </w:p>
    <w:p>
      <w:pPr>
        <w:pStyle w:val="S6"/>
        <w:spacing w:lineRule="auto" w:line="276"/>
        <w:ind w:firstLine="851"/>
        <w:rPr>
          <w:rFonts w:eastAsia="Calibri"/>
          <w:lang w:eastAsia="en-US"/>
        </w:rPr>
      </w:pPr>
      <w:r>
        <w:rPr>
          <w:rFonts w:eastAsia="Calibri"/>
          <w:lang w:eastAsia="en-US"/>
        </w:rPr>
        <w:t>В настоящем проекте учитываются все мероприятия, запланированные в ранее утвержденных Генеральных планах и вносимых изменений.</w:t>
      </w:r>
    </w:p>
    <w:p>
      <w:pPr>
        <w:pStyle w:val="S6"/>
        <w:spacing w:lineRule="auto" w:line="276"/>
        <w:ind w:firstLine="851"/>
        <w:rPr>
          <w:rFonts w:eastAsia="Calibri"/>
          <w:lang w:eastAsia="en-US"/>
        </w:rPr>
      </w:pPr>
      <w:r>
        <w:rPr>
          <w:rFonts w:eastAsia="Calibri"/>
          <w:lang w:eastAsia="en-US"/>
        </w:rPr>
      </w:r>
    </w:p>
    <w:p>
      <w:pPr>
        <w:pStyle w:val="S6"/>
        <w:spacing w:lineRule="auto" w:line="276"/>
        <w:ind w:firstLine="851"/>
        <w:rPr>
          <w:rFonts w:eastAsia="Calibri"/>
          <w:lang w:eastAsia="en-US"/>
        </w:rPr>
      </w:pPr>
      <w:r>
        <w:rPr>
          <w:rFonts w:eastAsia="Calibri"/>
          <w:lang w:eastAsia="en-US"/>
        </w:rPr>
      </w:r>
    </w:p>
    <w:p>
      <w:pPr>
        <w:pStyle w:val="Normal"/>
        <w:spacing w:before="0" w:after="0"/>
        <w:ind w:firstLine="851"/>
        <w:contextualSpacing/>
        <w:jc w:val="both"/>
        <w:rPr>
          <w:rFonts w:ascii="Times New Roman" w:hAnsi="Times New Roman" w:cs="Times New Roman"/>
          <w:b/>
          <w:b/>
          <w:color w:val="365F91" w:themeColor="accent1" w:themeShade="bf"/>
          <w:sz w:val="24"/>
          <w:szCs w:val="24"/>
        </w:rPr>
      </w:pPr>
      <w:bookmarkStart w:id="1" w:name="_Toc420414294"/>
      <w:bookmarkStart w:id="2" w:name="_Toc416247188"/>
      <w:r>
        <w:rPr>
          <w:rFonts w:cs="Times New Roman" w:ascii="Times New Roman" w:hAnsi="Times New Roman"/>
          <w:b/>
          <w:color w:val="365F91" w:themeColor="accent1" w:themeShade="bf"/>
          <w:sz w:val="24"/>
          <w:szCs w:val="24"/>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сельского поселения</w:t>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r>
    </w:p>
    <w:p>
      <w:pPr>
        <w:pStyle w:val="Normal"/>
        <w:spacing w:before="0" w:after="0"/>
        <w:ind w:firstLine="851"/>
        <w:contextualSpacing/>
        <w:jc w:val="both"/>
        <w:rPr>
          <w:rFonts w:ascii="Times New Roman" w:hAnsi="Times New Roman" w:eastAsia="Calibri" w:cs="Times New Roman"/>
          <w:color w:val="000000"/>
          <w:spacing w:val="-6"/>
          <w:sz w:val="24"/>
          <w:szCs w:val="24"/>
          <w:lang w:eastAsia="en-US"/>
        </w:rPr>
      </w:pPr>
      <w:r>
        <w:rPr>
          <w:rFonts w:cs="Times New Roman" w:ascii="Times New Roman" w:hAnsi="Times New Roman"/>
          <w:sz w:val="24"/>
          <w:szCs w:val="24"/>
        </w:rPr>
        <w:t xml:space="preserve">На территории </w:t>
      </w:r>
      <w:r>
        <w:rPr>
          <w:rFonts w:eastAsia="Calibri" w:cs="Times New Roman" w:ascii="Times New Roman" w:hAnsi="Times New Roman"/>
          <w:color w:val="000000"/>
          <w:spacing w:val="-6"/>
          <w:sz w:val="24"/>
          <w:szCs w:val="24"/>
          <w:lang w:eastAsia="en-US"/>
        </w:rPr>
        <w:t>сельского поселения действует следующая программа:</w:t>
      </w:r>
    </w:p>
    <w:p>
      <w:pPr>
        <w:pStyle w:val="Normal"/>
        <w:spacing w:before="0" w:after="0"/>
        <w:ind w:firstLine="851"/>
        <w:contextualSpacing/>
        <w:jc w:val="both"/>
        <w:rPr>
          <w:rFonts w:ascii="Times New Roman" w:hAnsi="Times New Roman" w:eastAsia="Calibri" w:cs="Times New Roman"/>
          <w:color w:val="000000"/>
          <w:spacing w:val="-6"/>
          <w:sz w:val="24"/>
          <w:szCs w:val="24"/>
          <w:lang w:eastAsia="en-US"/>
        </w:rPr>
      </w:pPr>
      <w:r>
        <w:rPr>
          <w:rFonts w:eastAsia="Calibri" w:cs="Times New Roman" w:ascii="Times New Roman" w:hAnsi="Times New Roman"/>
          <w:color w:val="000000"/>
          <w:spacing w:val="-6"/>
          <w:sz w:val="24"/>
          <w:szCs w:val="24"/>
          <w:lang w:eastAsia="en-US"/>
        </w:rPr>
        <w:t>1. Программа комплексного развития системы коммунальной инфраструктуры Татарско- Тавлинского сельского поселения Лямбирского муниципального района Республики Мордовия на 2017-2027 гг.</w:t>
      </w:r>
    </w:p>
    <w:p>
      <w:pPr>
        <w:pStyle w:val="Normal"/>
        <w:spacing w:before="0" w:after="0"/>
        <w:ind w:firstLine="851"/>
        <w:contextualSpacing/>
        <w:jc w:val="center"/>
        <w:rPr>
          <w:rFonts w:ascii="Times New Roman" w:hAnsi="Times New Roman" w:eastAsia="Calibri" w:cs="Times New Roman"/>
          <w:color w:val="000000"/>
          <w:spacing w:val="-6"/>
          <w:sz w:val="24"/>
          <w:szCs w:val="24"/>
          <w:lang w:eastAsia="en-US"/>
        </w:rPr>
      </w:pPr>
      <w:r>
        <w:rPr>
          <w:rFonts w:eastAsia="Calibri" w:cs="Times New Roman" w:ascii="Times New Roman" w:hAnsi="Times New Roman"/>
          <w:color w:val="000000"/>
          <w:spacing w:val="-6"/>
          <w:sz w:val="24"/>
          <w:szCs w:val="24"/>
          <w:lang w:eastAsia="en-US"/>
        </w:rPr>
        <w:t>Паспорт Программы:</w:t>
      </w:r>
    </w:p>
    <w:tbl>
      <w:tblPr>
        <w:tblW w:w="9660" w:type="dxa"/>
        <w:jc w:val="left"/>
        <w:tblInd w:w="0" w:type="dxa"/>
        <w:tblCellMar>
          <w:top w:w="0" w:type="dxa"/>
          <w:left w:w="28" w:type="dxa"/>
          <w:bottom w:w="0" w:type="dxa"/>
          <w:right w:w="28" w:type="dxa"/>
        </w:tblCellMar>
        <w:tblLook w:firstRow="0" w:noVBand="0" w:lastRow="0" w:firstColumn="0" w:lastColumn="0" w:noHBand="0" w:val="0000"/>
      </w:tblPr>
      <w:tblGrid>
        <w:gridCol w:w="2129"/>
        <w:gridCol w:w="7530"/>
      </w:tblGrid>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lang w:val="en-US"/>
              </w:rPr>
            </w:pPr>
            <w:r>
              <w:rPr>
                <w:b/>
              </w:rPr>
              <w:t>Наименование</w:t>
              <w:br/>
              <w:t>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jc w:val="center"/>
              <w:rPr>
                <w:b/>
                <w:b/>
              </w:rPr>
            </w:pPr>
            <w:r>
              <w:rPr>
                <w:b/>
              </w:rPr>
              <w:t>Программа комплексного развития системы коммунальной инфраструктуры Татарско-Тавлинского сельского поселения Лямбирского муниципального района Республики Мордовия на 2017-2027 гг. (далее - Программа)</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rPr>
            </w:pPr>
            <w:r>
              <w:rPr>
                <w:b/>
              </w:rPr>
              <w:t>Основание для разработки 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rPr/>
            </w:pPr>
            <w:r>
              <w:rPr/>
              <w:t>Градостроительный кодекс Российской Федерации. Приказ Министерства Регионального развития РФ от 06.05.2011 № 204 «О разработке программ комплексного развития систем коммунальной инфраструктуры муниципальных образований». Федеральный закон от 23.11.2004г. № 261-ФЗ «Об энергоснабжении и о повышении энергетической эффективности, и о внесении изменений в отдельные законодательные акты Российской Федерации» Федеральный закон от 30.12.2004г. № 210-ФЗ «Об основах регулирования тарифов организаций коммунального комплекса» Постановление Российской Федерации от 14.06.2013 года №502. В соответствии с пунктом 4/1 статьи 6 Градостроительного кодекса Российской Федерации Правительство Российской Федерации постановляет «Утвердить прилагаемые требования к программе комплексного развития систем коммунальной инфраструктуры сельских поселений, городских округов» Схема теплоснабжения Татарско-Тавлинского сельского поселения Лямбирского муниципального района Республики Мордовия, разработанная ООО «ЭКО-М».</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lang w:val="en-US"/>
              </w:rPr>
            </w:pPr>
            <w:r>
              <w:rPr>
                <w:b/>
              </w:rPr>
              <w:t>Заказчик программы, его местонахождение</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rPr/>
            </w:pPr>
            <w:r>
              <w:rPr/>
              <w:t>Администрация Татарско-Тавлинского сельского поселения Лямбирского муниципального района Республики Мордовия</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rPr>
            </w:pPr>
            <w:r>
              <w:rPr>
                <w:b/>
              </w:rPr>
              <w:t>Разработчик</w:t>
            </w:r>
          </w:p>
          <w:p>
            <w:pPr>
              <w:pStyle w:val="S6"/>
              <w:spacing w:lineRule="auto" w:line="240" w:before="0" w:after="0"/>
              <w:ind w:hanging="0"/>
              <w:contextualSpacing/>
              <w:jc w:val="center"/>
              <w:rPr>
                <w:b/>
                <w:b/>
              </w:rPr>
            </w:pPr>
            <w:r>
              <w:rPr>
                <w:b/>
              </w:rPr>
              <w:t>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rPr/>
            </w:pPr>
            <w:r>
              <w:rPr/>
              <w:t xml:space="preserve">Государственное Унитарное Предприятие Республики Мордовия «Мордовкоммунсервис» </w:t>
            </w:r>
          </w:p>
        </w:tc>
      </w:tr>
      <w:tr>
        <w:trPr>
          <w:trHeight w:val="1567"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lang w:val="en-US"/>
              </w:rPr>
            </w:pPr>
            <w:r>
              <w:rPr>
                <w:b/>
              </w:rPr>
              <w:t>Цель и задачи 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rPr>
                <w:b/>
                <w:b/>
                <w:i/>
                <w:i/>
              </w:rPr>
            </w:pPr>
            <w:r>
              <w:rPr>
                <w:b/>
                <w:i/>
              </w:rPr>
              <w:t xml:space="preserve">Цели: </w:t>
            </w:r>
          </w:p>
          <w:p>
            <w:pPr>
              <w:pStyle w:val="S6"/>
              <w:numPr>
                <w:ilvl w:val="0"/>
                <w:numId w:val="7"/>
              </w:numPr>
              <w:spacing w:lineRule="auto" w:line="240" w:before="0" w:after="0"/>
              <w:ind w:left="-34" w:firstLine="992"/>
              <w:contextualSpacing/>
              <w:rPr/>
            </w:pPr>
            <w:r>
              <w:rPr/>
              <w:t xml:space="preserve">модернизация (реконструкция) системы коммунальной инфраструктуры Татарско-Тавлинского сельского поселения; </w:t>
            </w:r>
          </w:p>
          <w:p>
            <w:pPr>
              <w:pStyle w:val="S6"/>
              <w:numPr>
                <w:ilvl w:val="0"/>
                <w:numId w:val="7"/>
              </w:numPr>
              <w:spacing w:lineRule="auto" w:line="240" w:before="0" w:after="0"/>
              <w:ind w:left="-34" w:firstLine="992"/>
              <w:contextualSpacing/>
              <w:rPr/>
            </w:pPr>
            <w:r>
              <w:rPr/>
              <w:t xml:space="preserve">экономия топливно-энергетических и трудовых ресурсов в системе коммунальной инфраструктуры Татарско-Тавлинского сельского поселения; </w:t>
            </w:r>
          </w:p>
          <w:p>
            <w:pPr>
              <w:pStyle w:val="S6"/>
              <w:numPr>
                <w:ilvl w:val="0"/>
                <w:numId w:val="7"/>
              </w:numPr>
              <w:spacing w:lineRule="auto" w:line="240" w:before="0" w:after="0"/>
              <w:ind w:left="-34" w:firstLine="992"/>
              <w:contextualSpacing/>
              <w:rPr/>
            </w:pPr>
            <w:r>
              <w:rPr/>
              <w:t xml:space="preserve">повышение качества предоставляемых коммунальных услуг. </w:t>
            </w:r>
          </w:p>
          <w:p>
            <w:pPr>
              <w:pStyle w:val="S6"/>
              <w:numPr>
                <w:ilvl w:val="0"/>
                <w:numId w:val="7"/>
              </w:numPr>
              <w:spacing w:lineRule="auto" w:line="240" w:before="0" w:after="0"/>
              <w:ind w:left="-34" w:firstLine="992"/>
              <w:contextualSpacing/>
              <w:rPr/>
            </w:pPr>
            <w:r>
              <w:rPr/>
              <w:t xml:space="preserve">улучшение состояния окружающей среды, экологическая безопасность развития Татарско-Тавлинского сельского поселения, создание благоприятных условий для проживания населения. </w:t>
            </w:r>
          </w:p>
          <w:p>
            <w:pPr>
              <w:pStyle w:val="S6"/>
              <w:numPr>
                <w:ilvl w:val="0"/>
                <w:numId w:val="7"/>
              </w:numPr>
              <w:spacing w:lineRule="auto" w:line="240" w:before="0" w:after="0"/>
              <w:ind w:left="-34" w:firstLine="992"/>
              <w:contextualSpacing/>
              <w:rPr>
                <w:b/>
                <w:b/>
                <w:i/>
                <w:i/>
              </w:rPr>
            </w:pPr>
            <w:r>
              <w:rPr>
                <w:b/>
                <w:i/>
              </w:rPr>
              <w:t xml:space="preserve">Задачи: </w:t>
            </w:r>
          </w:p>
          <w:p>
            <w:pPr>
              <w:pStyle w:val="S6"/>
              <w:spacing w:lineRule="auto" w:line="240" w:before="0" w:after="0"/>
              <w:contextualSpacing/>
              <w:rPr/>
            </w:pPr>
            <w:r>
              <w:rPr/>
              <w:t>1. Инженерно-техническая оптимизация систем коммунальной инфраструктуры.</w:t>
            </w:r>
          </w:p>
          <w:p>
            <w:pPr>
              <w:pStyle w:val="S6"/>
              <w:spacing w:lineRule="auto" w:line="240" w:before="0" w:after="0"/>
              <w:contextualSpacing/>
              <w:rPr/>
            </w:pPr>
            <w:r>
              <w:rPr/>
              <w:t xml:space="preserve">2. Повышение надежности систем коммунальной инфраструктуры. </w:t>
            </w:r>
          </w:p>
          <w:p>
            <w:pPr>
              <w:pStyle w:val="S6"/>
              <w:spacing w:lineRule="auto" w:line="240" w:before="0" w:after="0"/>
              <w:contextualSpacing/>
              <w:rPr/>
            </w:pPr>
            <w:r>
              <w:rPr/>
              <w:t xml:space="preserve">3. Обеспечение более комфортных условий проживания населения сельского поселения. </w:t>
            </w:r>
          </w:p>
          <w:p>
            <w:pPr>
              <w:pStyle w:val="S6"/>
              <w:spacing w:lineRule="auto" w:line="240" w:before="0" w:after="0"/>
              <w:contextualSpacing/>
              <w:rPr/>
            </w:pPr>
            <w:r>
              <w:rPr/>
              <w:t xml:space="preserve">4. Повышение качества предоставляемых ЖКХ. </w:t>
            </w:r>
          </w:p>
          <w:p>
            <w:pPr>
              <w:pStyle w:val="S6"/>
              <w:spacing w:lineRule="auto" w:line="240" w:before="0" w:after="0"/>
              <w:contextualSpacing/>
              <w:rPr/>
            </w:pPr>
            <w:r>
              <w:rPr/>
              <w:t>5. Снижение потребления энергетических ресурсов.</w:t>
            </w:r>
          </w:p>
          <w:p>
            <w:pPr>
              <w:pStyle w:val="S6"/>
              <w:spacing w:lineRule="auto" w:line="240" w:before="0" w:after="0"/>
              <w:contextualSpacing/>
              <w:rPr/>
            </w:pPr>
            <w:r>
              <w:rPr/>
              <w:t>6. Улучшение экологической обстановки в сельском поселении</w:t>
            </w:r>
          </w:p>
        </w:tc>
      </w:tr>
      <w:tr>
        <w:trPr>
          <w:trHeight w:val="386"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rPr>
            </w:pPr>
            <w:r>
              <w:rPr>
                <w:b/>
              </w:rPr>
              <w:t>Сроки реализации 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pPr>
            <w:r>
              <w:rPr/>
              <w:t>2017- 2027 гг.</w:t>
            </w:r>
          </w:p>
        </w:tc>
      </w:tr>
      <w:tr>
        <w:trPr>
          <w:trHeight w:val="85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rPr>
            </w:pPr>
            <w:r>
              <w:rPr>
                <w:b/>
              </w:rPr>
              <w:t>Мероприятия</w:t>
            </w:r>
          </w:p>
          <w:p>
            <w:pPr>
              <w:pStyle w:val="S6"/>
              <w:spacing w:lineRule="auto" w:line="240" w:before="0" w:after="0"/>
              <w:ind w:hanging="0"/>
              <w:contextualSpacing/>
              <w:jc w:val="center"/>
              <w:rPr>
                <w:b/>
                <w:b/>
              </w:rPr>
            </w:pPr>
            <w:r>
              <w:rPr>
                <w:b/>
              </w:rPr>
              <w:t>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contextualSpacing/>
              <w:rPr/>
            </w:pPr>
            <w:r>
              <w:rPr/>
              <w:t>1. Замена участка сети распределительного водопровода с наибольшим износом</w:t>
            </w:r>
          </w:p>
          <w:p>
            <w:pPr>
              <w:pStyle w:val="S6"/>
              <w:spacing w:lineRule="auto" w:line="240" w:before="0" w:after="0"/>
              <w:contextualSpacing/>
              <w:rPr/>
            </w:pPr>
            <w:r>
              <w:rPr/>
              <w:t>2. Установка бака ТБО</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hanging="0"/>
              <w:contextualSpacing/>
              <w:jc w:val="center"/>
              <w:rPr>
                <w:b/>
                <w:b/>
              </w:rPr>
            </w:pPr>
            <w:r>
              <w:rPr>
                <w:b/>
              </w:rPr>
              <w:t>Исполнители основных</w:t>
            </w:r>
          </w:p>
          <w:p>
            <w:pPr>
              <w:pStyle w:val="S6"/>
              <w:spacing w:lineRule="auto" w:line="240" w:before="0" w:after="0"/>
              <w:ind w:hanging="0"/>
              <w:contextualSpacing/>
              <w:jc w:val="center"/>
              <w:rPr>
                <w:b/>
                <w:b/>
              </w:rPr>
            </w:pPr>
            <w:r>
              <w:rPr>
                <w:b/>
              </w:rPr>
              <w:t>мероприятий</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S6"/>
              <w:spacing w:lineRule="auto" w:line="240" w:before="0" w:after="0"/>
              <w:ind w:firstLine="705"/>
              <w:contextualSpacing/>
              <w:rPr/>
            </w:pPr>
            <w:r>
              <w:rPr/>
              <w:t>Администрация Татарско-Тавлинского сельского поселения Лямбирского муниципального района Республики Мордовия.</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Normal"/>
              <w:spacing w:lineRule="auto" w:line="240" w:before="0" w:after="0"/>
              <w:contextualSpacing/>
              <w:jc w:val="center"/>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Ожидаемые результаты реализации программы</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Normal"/>
              <w:spacing w:lineRule="auto" w:line="240" w:before="0" w:after="0"/>
              <w:ind w:firstLine="705"/>
              <w:contextualSpacing/>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Модернизация и обновление коммунальной инфраструктуры Татарско-Тавлинского сельского поселения, снижение эксплуатационных затрат на содержание объектов коммунальной инфраструктуры, устранение причин возникновения аварийных ситуаций, угрожающих жизнедеятельности человека, улучшение экологического состояния окружающей среды.</w:t>
            </w:r>
          </w:p>
          <w:p>
            <w:pPr>
              <w:pStyle w:val="Normal"/>
              <w:spacing w:lineRule="auto" w:line="240" w:before="0" w:after="0"/>
              <w:ind w:firstLine="705"/>
              <w:contextualSpacing/>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Улучшение санитарного состояния сельских территорий, стабилизация и последующее уменьшение образования бытовых и промышленных отходов на территории села, улучшение экологического состояния Татарско-Тавлинского сельского поселения.</w:t>
            </w:r>
          </w:p>
        </w:tc>
      </w:tr>
      <w:tr>
        <w:trPr>
          <w:trHeight w:val="1" w:hRule="atLeast"/>
        </w:trPr>
        <w:tc>
          <w:tcPr>
            <w:tcW w:w="2129" w:type="dxa"/>
            <w:tcBorders>
              <w:top w:val="single" w:sz="2" w:space="0" w:color="000000"/>
              <w:left w:val="single" w:sz="2" w:space="0" w:color="000000"/>
              <w:bottom w:val="single" w:sz="2" w:space="0" w:color="000000"/>
              <w:right w:val="single" w:sz="2" w:space="0" w:color="000000"/>
            </w:tcBorders>
            <w:shd w:color="000000" w:fill="FFFFFF" w:val="clear"/>
          </w:tcPr>
          <w:p>
            <w:pPr>
              <w:pStyle w:val="Normal"/>
              <w:spacing w:lineRule="auto" w:line="240" w:before="0" w:after="0"/>
              <w:contextualSpacing/>
              <w:jc w:val="center"/>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Объемы и источники</w:t>
            </w:r>
          </w:p>
          <w:p>
            <w:pPr>
              <w:pStyle w:val="Normal"/>
              <w:spacing w:lineRule="auto" w:line="240" w:before="0" w:after="0"/>
              <w:contextualSpacing/>
              <w:jc w:val="center"/>
              <w:rPr>
                <w:rFonts w:ascii="Times New Roman" w:hAnsi="Times New Roman" w:eastAsia="Times New Roman" w:cs="Times New Roman"/>
                <w:b/>
                <w:b/>
                <w:sz w:val="24"/>
                <w:szCs w:val="24"/>
              </w:rPr>
            </w:pPr>
            <w:r>
              <w:rPr>
                <w:rFonts w:eastAsia="Times New Roman" w:cs="Times New Roman" w:ascii="Times New Roman" w:hAnsi="Times New Roman"/>
                <w:b/>
                <w:sz w:val="24"/>
                <w:szCs w:val="24"/>
              </w:rPr>
              <w:t>финансирования</w:t>
            </w:r>
          </w:p>
        </w:tc>
        <w:tc>
          <w:tcPr>
            <w:tcW w:w="7530" w:type="dxa"/>
            <w:tcBorders>
              <w:top w:val="single" w:sz="2" w:space="0" w:color="000000"/>
              <w:left w:val="single" w:sz="2" w:space="0" w:color="000000"/>
              <w:bottom w:val="single" w:sz="2" w:space="0" w:color="000000"/>
              <w:right w:val="single" w:sz="2" w:space="0" w:color="000000"/>
            </w:tcBorders>
            <w:shd w:color="000000" w:fill="FFFFFF" w:val="clear"/>
          </w:tcPr>
          <w:p>
            <w:pPr>
              <w:pStyle w:val="Normal"/>
              <w:spacing w:lineRule="auto" w:line="240" w:before="0" w:after="0"/>
              <w:ind w:firstLine="705"/>
              <w:contextualSpacing/>
              <w:jc w:val="both"/>
              <w:rPr>
                <w:rFonts w:ascii="Times New Roman" w:hAnsi="Times New Roman" w:cs="Times New Roman"/>
                <w:sz w:val="24"/>
                <w:szCs w:val="24"/>
              </w:rPr>
            </w:pPr>
            <w:r>
              <w:rPr>
                <w:rFonts w:cs="Times New Roman" w:ascii="Times New Roman" w:hAnsi="Times New Roman"/>
                <w:sz w:val="24"/>
                <w:szCs w:val="24"/>
              </w:rPr>
              <w:t>Источник финансирования – средства бюджетов всех уровней, тарифная составляющая, плата за подключение, инвестиции. Источниками финансирования Программы являются средства бюджетов разных уровней и внебюджетные средства.</w:t>
            </w:r>
          </w:p>
        </w:tc>
      </w:tr>
    </w:tbl>
    <w:p>
      <w:pPr>
        <w:pStyle w:val="Normal"/>
        <w:spacing w:before="0" w:after="0"/>
        <w:jc w:val="both"/>
        <w:rPr>
          <w:rFonts w:ascii="Times New Roman" w:hAnsi="Times New Roman" w:eastAsia="Calibri" w:cs="Times New Roman"/>
          <w:b/>
          <w:b/>
          <w:color w:val="000000"/>
          <w:spacing w:val="-6"/>
          <w:sz w:val="24"/>
          <w:szCs w:val="24"/>
          <w:lang w:eastAsia="en-US"/>
        </w:rPr>
      </w:pPr>
      <w:r>
        <w:rPr>
          <w:rFonts w:eastAsia="Calibri" w:cs="Times New Roman" w:ascii="Times New Roman" w:hAnsi="Times New Roman"/>
          <w:b/>
          <w:color w:val="000000"/>
          <w:spacing w:val="-6"/>
          <w:sz w:val="24"/>
          <w:szCs w:val="24"/>
          <w:lang w:eastAsia="en-US"/>
        </w:rPr>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2. Обоснование выбранного варианта размещения объектов местного значения сельского поселения на основе анализа использования территорий сельского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pPr>
        <w:pStyle w:val="Normal"/>
        <w:spacing w:before="0" w:after="0"/>
        <w:contextualSpacing/>
        <w:rPr/>
      </w:pPr>
      <w:r>
        <w:rPr/>
      </w:r>
    </w:p>
    <w:p>
      <w:pPr>
        <w:pStyle w:val="Normal"/>
        <w:spacing w:before="0" w:after="0"/>
        <w:ind w:firstLine="851"/>
        <w:contextualSpacing/>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2.1 Общие сведения о сельском поселении</w:t>
      </w:r>
    </w:p>
    <w:p>
      <w:pPr>
        <w:pStyle w:val="Normal"/>
        <w:spacing w:before="0" w:after="0"/>
        <w:ind w:firstLine="851"/>
        <w:contextualSpacing/>
        <w:rPr/>
      </w:pPr>
      <w:r>
        <w:rPr/>
      </w:r>
    </w:p>
    <w:p>
      <w:pPr>
        <w:pStyle w:val="S6"/>
        <w:spacing w:lineRule="auto" w:line="276" w:before="0" w:after="0"/>
        <w:ind w:firstLine="851"/>
        <w:contextualSpacing/>
        <w:rPr>
          <w:highlight w:val="white"/>
        </w:rPr>
      </w:pPr>
      <w:r>
        <w:rPr>
          <w:shd w:fill="FFFFFF" w:val="clear"/>
        </w:rPr>
        <w:t>Татарско-Тавлинское сельское поселение расположено в юго-восточной части Лямбирского района, площадь территории сельского поселения составляет 1848,84 га. Протяженность территории сельского поселения с севера на юг – 5,15 км, с запада на восток 4,125 км. Сельское поселение граничит с городским округом Саранск, Аксеновским сельским поселением, Атемарским сельским поселением.</w:t>
      </w:r>
    </w:p>
    <w:p>
      <w:pPr>
        <w:pStyle w:val="S6"/>
        <w:spacing w:lineRule="auto" w:line="276" w:before="0" w:after="0"/>
        <w:ind w:firstLine="851"/>
        <w:contextualSpacing/>
        <w:rPr>
          <w:highlight w:val="white"/>
        </w:rPr>
      </w:pPr>
      <w:r>
        <w:rPr/>
        <w:t>Статус и границы сельского поселения установлены Законом Республики Мордовия от</w:t>
      </w:r>
    </w:p>
    <w:p>
      <w:pPr>
        <w:pStyle w:val="S6"/>
        <w:spacing w:lineRule="auto" w:line="276"/>
        <w:ind w:hanging="0"/>
        <w:rPr/>
      </w:pPr>
      <w:r>
        <w:rPr/>
        <w:t>28 декабря 2004 года № 122-З «Об установлении границ муниципальных образований Лямбирского муниципального района, Лямбирского муниципального района и наделении их статусом сельского поселения и муниципального района».</w:t>
      </w:r>
    </w:p>
    <w:p>
      <w:pPr>
        <w:pStyle w:val="S6"/>
        <w:spacing w:lineRule="auto" w:line="276"/>
        <w:ind w:firstLine="851"/>
        <w:rPr/>
      </w:pPr>
      <w:r>
        <w:rPr/>
        <w:t>Административным центром Татарско-Тавлинского сельского поселения                           является с. Татарская-Тавла.</w:t>
      </w:r>
    </w:p>
    <w:p>
      <w:pPr>
        <w:pStyle w:val="S6"/>
        <w:spacing w:lineRule="auto" w:line="276"/>
        <w:ind w:firstLine="851"/>
        <w:rPr>
          <w:bCs/>
        </w:rPr>
      </w:pPr>
      <w:r>
        <w:rPr>
          <w:bCs/>
        </w:rPr>
        <w:t xml:space="preserve">Село Татарская Тавла является почти «ровесником» Саранска – оно было основано во второй половине 17 века, выходцами села Подлесная Тавла – Х.А. Секаевым и А.И. Абляевым и темниковскими служилыми татарами. </w:t>
      </w:r>
    </w:p>
    <w:p>
      <w:pPr>
        <w:pStyle w:val="S6"/>
        <w:spacing w:lineRule="auto" w:line="276"/>
        <w:ind w:firstLine="851"/>
        <w:rPr>
          <w:bCs/>
        </w:rPr>
      </w:pPr>
      <w:r>
        <w:rPr>
          <w:bCs/>
        </w:rPr>
        <w:t>Название Тавла – имеет тюркское происхождение, означает «обилие                                          чего-либо». Сельское поселение находится на реке Елшанка. В «Списке населенных мест Пензенской губернии» (1869) Татарская Тавла – деревня казенная из 87 дворов Саранского уезда.</w:t>
      </w:r>
    </w:p>
    <w:p>
      <w:pPr>
        <w:pStyle w:val="S6"/>
        <w:spacing w:lineRule="auto" w:line="276"/>
        <w:ind w:firstLine="851"/>
        <w:rPr>
          <w:bCs/>
        </w:rPr>
      </w:pPr>
      <w:r>
        <w:rPr>
          <w:bCs/>
        </w:rPr>
        <w:t>Татарско-Тавлинский сельский Совет образовался в 1918 году и входил в состав Атемарской волости Саранского уезда Пензенской губернии. В 1933 году после образования национального татарского района вошел в состав Лямбирского района. В 1954 году вошел в состав Аксеновского сельского Совета.</w:t>
      </w:r>
    </w:p>
    <w:p>
      <w:pPr>
        <w:pStyle w:val="S6"/>
        <w:spacing w:lineRule="auto" w:line="276"/>
        <w:ind w:firstLine="851"/>
        <w:rPr>
          <w:bCs/>
        </w:rPr>
      </w:pPr>
      <w:r>
        <w:rPr>
          <w:bCs/>
        </w:rPr>
        <w:t>На основании Указа Президиума Верховного Совета МАССР от 12.09.1990 года был вновь образован Татарско-Тавлинский сельсовет. В 1927 году создана сельскохозяйственная артель «Интернационал», с 1930 года переименовали в «им. Ворошилова», затем в «им. Чапаева», с 1988 года совхоз «Татарско-Тавлинский».</w:t>
      </w:r>
    </w:p>
    <w:p>
      <w:pPr>
        <w:pStyle w:val="S6"/>
        <w:spacing w:lineRule="auto" w:line="276"/>
        <w:ind w:firstLine="851"/>
        <w:rPr/>
      </w:pPr>
      <w:r>
        <w:rPr/>
        <w:t xml:space="preserve">В состав сельского поселения входит один населенный пункт: с. Татарская-Тавла. </w:t>
      </w:r>
    </w:p>
    <w:p>
      <w:pPr>
        <w:pStyle w:val="S6"/>
        <w:spacing w:lineRule="auto" w:line="276"/>
        <w:ind w:firstLine="851"/>
        <w:rPr/>
      </w:pPr>
      <w:r>
        <w:rPr/>
        <w:t xml:space="preserve">Население сельского поселения на 01.01.2024 год составляет 747 чел. </w:t>
      </w:r>
    </w:p>
    <w:p>
      <w:pPr>
        <w:pStyle w:val="S6"/>
        <w:spacing w:lineRule="auto" w:line="276"/>
        <w:ind w:firstLine="851"/>
        <w:rPr/>
      </w:pPr>
      <w:r>
        <w:rPr/>
        <w:t>Связь между населенными пунктами внутри сельского поселения осуществляется по региональным дорогам с асфальтобетонным и грунтовым покрытием.</w:t>
      </w:r>
    </w:p>
    <w:p>
      <w:pPr>
        <w:pStyle w:val="S6"/>
        <w:spacing w:lineRule="auto" w:line="276"/>
        <w:ind w:firstLine="851"/>
        <w:rPr>
          <w:lang w:eastAsia="en-US"/>
        </w:rPr>
      </w:pPr>
      <w:r>
        <w:rPr>
          <w:lang w:eastAsia="en-US"/>
        </w:rPr>
        <w:t>На территории Татарско-Тавлинского сельского поселения Лямбирского муниципального района железнодорожная сеть отсутствует.</w:t>
      </w:r>
    </w:p>
    <w:p>
      <w:pPr>
        <w:pStyle w:val="S6"/>
        <w:spacing w:lineRule="auto" w:line="276" w:before="0" w:after="0"/>
        <w:ind w:firstLine="851"/>
        <w:contextualSpacing/>
        <w:rPr/>
      </w:pPr>
      <w:r>
        <w:rPr/>
        <w:t>Воздушное сообщение осуществляется через аэропорт г. Саранска.</w:t>
      </w:r>
    </w:p>
    <w:p>
      <w:pPr>
        <w:pStyle w:val="S6"/>
        <w:spacing w:lineRule="auto" w:line="276" w:before="0" w:after="0"/>
        <w:ind w:firstLine="851"/>
        <w:contextualSpacing/>
        <w:rPr/>
      </w:pPr>
      <w:r>
        <w:rPr/>
      </w:r>
    </w:p>
    <w:p>
      <w:pPr>
        <w:pStyle w:val="Normal"/>
        <w:spacing w:lineRule="auto" w:line="280"/>
        <w:ind w:firstLine="851"/>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2.2 Природные условия</w:t>
      </w:r>
    </w:p>
    <w:p>
      <w:pPr>
        <w:pStyle w:val="Normal"/>
        <w:tabs>
          <w:tab w:val="clear" w:pos="709"/>
          <w:tab w:val="left" w:pos="142" w:leader="none"/>
        </w:tabs>
        <w:spacing w:lineRule="auto" w:line="280" w:before="0" w:after="0"/>
        <w:ind w:firstLine="851"/>
        <w:contextualSpacing/>
        <w:jc w:val="both"/>
        <w:rPr>
          <w:rFonts w:ascii="Times New Roman" w:hAnsi="Times New Roman" w:cs="Times New Roman"/>
          <w:b/>
          <w:b/>
          <w:sz w:val="24"/>
          <w:szCs w:val="24"/>
        </w:rPr>
      </w:pPr>
      <w:r>
        <w:rPr>
          <w:rFonts w:cs="Times New Roman" w:ascii="Times New Roman" w:hAnsi="Times New Roman"/>
          <w:b/>
          <w:sz w:val="24"/>
          <w:szCs w:val="24"/>
        </w:rPr>
        <w:t>Климат</w:t>
      </w:r>
    </w:p>
    <w:p>
      <w:pPr>
        <w:pStyle w:val="Normal"/>
        <w:tabs>
          <w:tab w:val="clear" w:pos="709"/>
          <w:tab w:val="left" w:pos="142" w:leader="none"/>
        </w:tabs>
        <w:spacing w:lineRule="auto" w:line="280"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Татарско-Тавлинское сельское поселение находится в зоне умеренно-континентального климата с сравнительно жарким летом и холодной зимой. Территория хозяйства находится под влиянием воздушных масс умеренных широт. Преобладающими ветрами являются западные и юго-западные. Среднегодовая скорость ветра – 3.9м/с. </w:t>
      </w:r>
    </w:p>
    <w:p>
      <w:pPr>
        <w:pStyle w:val="Normal"/>
        <w:tabs>
          <w:tab w:val="clear" w:pos="709"/>
          <w:tab w:val="left" w:pos="142" w:leader="none"/>
        </w:tabs>
        <w:spacing w:lineRule="auto" w:line="280"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Сравнительно часто территория попадает под воздействие сухих континентальных воздушных масс, приносимых с юго-востока. В теплый период года в таких случаях иногда на длительное время наступают засухи. </w:t>
      </w:r>
    </w:p>
    <w:p>
      <w:pPr>
        <w:pStyle w:val="Normal"/>
        <w:tabs>
          <w:tab w:val="clear" w:pos="709"/>
          <w:tab w:val="left" w:pos="142" w:leader="none"/>
        </w:tabs>
        <w:spacing w:lineRule="auto" w:line="280"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Несколько раз за зиму наблюдаются сильные метели, а иногда и снежные бураны. Зимой морозы достигают – 44</w:t>
      </w:r>
      <w:r>
        <w:rPr>
          <w:rFonts w:eastAsia="Times New Roman" w:cs="Times New Roman" w:ascii="Times New Roman" w:hAnsi="Times New Roman"/>
          <w:sz w:val="24"/>
          <w:szCs w:val="24"/>
          <w:vertAlign w:val="superscript"/>
        </w:rPr>
        <w:t>о</w:t>
      </w:r>
      <w:r>
        <w:rPr>
          <w:rFonts w:eastAsia="Times New Roman" w:cs="Times New Roman" w:ascii="Times New Roman" w:hAnsi="Times New Roman"/>
          <w:sz w:val="24"/>
          <w:szCs w:val="24"/>
        </w:rPr>
        <w:t>С. В переходные сезоны наблюдаются возвраты холодов и заморозков. Средняя годовая температура воздуха по многолетним данным + 3.9</w:t>
      </w:r>
      <w:r>
        <w:rPr>
          <w:rFonts w:eastAsia="Times New Roman" w:cs="Times New Roman" w:ascii="Times New Roman" w:hAnsi="Times New Roman"/>
          <w:sz w:val="24"/>
          <w:szCs w:val="24"/>
          <w:vertAlign w:val="superscript"/>
        </w:rPr>
        <w:t>о</w:t>
      </w:r>
      <w:r>
        <w:rPr>
          <w:rFonts w:eastAsia="Times New Roman" w:cs="Times New Roman" w:ascii="Times New Roman" w:hAnsi="Times New Roman"/>
          <w:sz w:val="24"/>
          <w:szCs w:val="24"/>
        </w:rPr>
        <w:t>С.</w:t>
      </w:r>
    </w:p>
    <w:p>
      <w:pPr>
        <w:pStyle w:val="Normal"/>
        <w:tabs>
          <w:tab w:val="clear" w:pos="709"/>
          <w:tab w:val="left" w:pos="142" w:leader="none"/>
        </w:tabs>
        <w:spacing w:lineRule="auto" w:line="280"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Продолжительность периода с температурами выше 0</w:t>
      </w:r>
      <w:r>
        <w:rPr>
          <w:rFonts w:eastAsia="Times New Roman" w:cs="Times New Roman" w:ascii="Times New Roman" w:hAnsi="Times New Roman"/>
          <w:sz w:val="24"/>
          <w:szCs w:val="24"/>
          <w:vertAlign w:val="superscript"/>
        </w:rPr>
        <w:t>о</w:t>
      </w:r>
      <w:r>
        <w:rPr>
          <w:rFonts w:eastAsia="Times New Roman" w:cs="Times New Roman" w:ascii="Times New Roman" w:hAnsi="Times New Roman"/>
          <w:sz w:val="24"/>
          <w:szCs w:val="24"/>
        </w:rPr>
        <w:t>С составляет 209 дней,                          выше 5</w:t>
      </w:r>
      <w:r>
        <w:rPr>
          <w:rFonts w:eastAsia="Times New Roman" w:cs="Times New Roman" w:ascii="Times New Roman" w:hAnsi="Times New Roman"/>
          <w:sz w:val="24"/>
          <w:szCs w:val="24"/>
          <w:vertAlign w:val="superscript"/>
        </w:rPr>
        <w:t>о</w:t>
      </w:r>
      <w:r>
        <w:rPr>
          <w:rFonts w:eastAsia="Times New Roman" w:cs="Times New Roman" w:ascii="Times New Roman" w:hAnsi="Times New Roman"/>
          <w:sz w:val="24"/>
          <w:szCs w:val="24"/>
        </w:rPr>
        <w:t>С – 130 дней. Дата первого заморозка 22 сентября, последнего 11 мая. Глубина промерзания почвы 90 см. Полное оттаивание почвы наступает 26 апреля.</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Устойчивый снежный покров ложится во второй декаде ноября, достигая максимальной высоты во второй декаде марта 29 см. Снеготаяние    начинается    примерно   в</w:t>
      </w:r>
    </w:p>
    <w:p>
      <w:pPr>
        <w:pStyle w:val="Normal"/>
        <w:tabs>
          <w:tab w:val="clear" w:pos="709"/>
          <w:tab w:val="left" w:pos="142" w:leader="none"/>
        </w:tabs>
        <w:spacing w:lineRule="auto" w:line="285"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третьей декаде марта и заканчивается в первой декаде апреля. </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В период вегетации растений количество осадков составляет 237 мл.</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Республика Мордовия относится в зоне неустойчивого увлажнения. Годы с достаточным и даже обильным увлажнением нередко чередуются с засушливыми.</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По многолетним данным в районе выпадает в среднем 459 мм осадков в год, в том числе в вегетационный период (апрель-октябрь) 300-310 мм.</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В весенне-летний период суховеи и засушливые явления наблюдаются почти ежегодно. Дней с суховеями бывает около 10, продолжительностью по 2-3 дня. </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Татарско-Тавлинское сельское поселение относится к строительно-климатической зоне. Климатические условия планировочных ограничений не вызывают. Расчетные температуры для проектирования отопления и вентиляции равны, соответственно – минус 30°С и плюс 25°С.</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Летний период с мая по август и зимний с декабря по февраль характеризуются комфортными для отдыха. Агроклиматические условия характеризуются тепло обеспеченностью вегетационного периода, что дает возможность возделывания яровых и озимых зерновых культур, а также овощных, плодовых и кормовых культур,                            Татарско-Тавлинское сельское поселение находится в зоне умеренного потенциала загрязнения атмосферы.</w:t>
      </w:r>
    </w:p>
    <w:p>
      <w:pPr>
        <w:pStyle w:val="Normal"/>
        <w:tabs>
          <w:tab w:val="clear" w:pos="709"/>
          <w:tab w:val="left" w:pos="142" w:leader="none"/>
        </w:tabs>
        <w:spacing w:lineRule="auto" w:line="285" w:before="0" w:after="0"/>
        <w:ind w:firstLine="851"/>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tabs>
          <w:tab w:val="clear" w:pos="709"/>
          <w:tab w:val="left" w:pos="142" w:leader="none"/>
        </w:tabs>
        <w:spacing w:lineRule="auto" w:line="285" w:before="0" w:after="0"/>
        <w:ind w:firstLine="851"/>
        <w:jc w:val="both"/>
        <w:rPr>
          <w:rFonts w:ascii="Times New Roman" w:hAnsi="Times New Roman" w:cs="Times New Roman"/>
          <w:b/>
          <w:b/>
          <w:sz w:val="24"/>
          <w:szCs w:val="24"/>
        </w:rPr>
      </w:pPr>
      <w:r>
        <w:rPr>
          <w:rFonts w:cs="Times New Roman" w:ascii="Times New Roman" w:hAnsi="Times New Roman"/>
          <w:b/>
          <w:sz w:val="24"/>
          <w:szCs w:val="24"/>
        </w:rPr>
        <w:t>Рельеф, геологическое строение</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Территория сельского поселения расположена на Приволжской возвышенности со слабоволнистым рельефом.</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Северо-восточная часть землепользования самая высокая. Она изрезана на межовражные водораздельные склоны, слабопокатые с уклоном 3-5</w:t>
      </w:r>
      <w:r>
        <w:rPr>
          <w:rFonts w:cs="Times New Roman" w:ascii="Times New Roman" w:hAnsi="Times New Roman"/>
          <w:sz w:val="24"/>
          <w:szCs w:val="24"/>
          <w:vertAlign w:val="superscript"/>
        </w:rPr>
        <w:t>о</w:t>
      </w:r>
      <w:r>
        <w:rPr>
          <w:rFonts w:cs="Times New Roman" w:ascii="Times New Roman" w:hAnsi="Times New Roman"/>
          <w:sz w:val="24"/>
          <w:szCs w:val="24"/>
        </w:rPr>
        <w:t>. В этой части распространены почвы слабосмытые. Переход склонов к оврагу Мельцарка и к ручью Ельшанка резкий. Вся остальная часть землепользования представляет собой равнину с явно выраженными микроповышениями и микропонижениями.</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Господствующими элементами рельефа являются длинные пологие водоразделительные склоны северной и восточной экспозиции с плоскими вершинами. Изрезанность овражно-балочной системой небольшая.</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Склоны оврага Мельчарка и ручья Ельшанка крутые, размытые промоинами, задернованы. Балки имеют пологие задернованные берега и заболоченные днища.</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Эрозионные процессы на обследованной территории характеризуются плоскостной эрозией, т.е. процессами смыва на площадях, прилегающих к гидрографической сети. Линейная эрозия также имеет незначительное развитие и представлена береговыми размывами промоинами и оврагами.</w:t>
      </w:r>
    </w:p>
    <w:p>
      <w:pPr>
        <w:pStyle w:val="Normal"/>
        <w:spacing w:lineRule="auto" w:line="285" w:before="0" w:after="0"/>
        <w:ind w:firstLine="851"/>
        <w:jc w:val="both"/>
        <w:rPr>
          <w:rFonts w:ascii="Times New Roman" w:hAnsi="Times New Roman" w:cs="Times New Roman"/>
          <w:sz w:val="24"/>
          <w:szCs w:val="24"/>
        </w:rPr>
      </w:pPr>
      <w:r>
        <w:rPr>
          <w:rFonts w:cs="Times New Roman" w:ascii="Times New Roman" w:hAnsi="Times New Roman"/>
          <w:sz w:val="24"/>
          <w:szCs w:val="24"/>
        </w:rPr>
        <w:t xml:space="preserve">К непахотнопригодным участкам можно отнести нижние части крутых овражных склонов. В целом условия рельефа вполне благоприятствуют полеводству с широким применением механизации и рациональному ее использованию. </w:t>
      </w:r>
    </w:p>
    <w:p>
      <w:pPr>
        <w:pStyle w:val="Normal"/>
        <w:spacing w:lineRule="auto" w:line="280" w:before="0" w:after="0"/>
        <w:ind w:firstLine="851"/>
        <w:rPr>
          <w:rFonts w:ascii="Times New Roman" w:hAnsi="Times New Roman"/>
          <w:b/>
          <w:b/>
          <w:sz w:val="24"/>
          <w:szCs w:val="24"/>
        </w:rPr>
      </w:pPr>
      <w:r>
        <w:rPr>
          <w:rFonts w:ascii="Times New Roman" w:hAnsi="Times New Roman"/>
          <w:b/>
          <w:sz w:val="24"/>
          <w:szCs w:val="24"/>
        </w:rPr>
      </w:r>
    </w:p>
    <w:p>
      <w:pPr>
        <w:pStyle w:val="Normal"/>
        <w:spacing w:lineRule="auto" w:line="280" w:before="0" w:after="0"/>
        <w:ind w:firstLine="851"/>
        <w:rPr>
          <w:rFonts w:ascii="Times New Roman" w:hAnsi="Times New Roman"/>
          <w:b/>
          <w:b/>
          <w:sz w:val="24"/>
          <w:szCs w:val="24"/>
        </w:rPr>
      </w:pPr>
      <w:r>
        <w:rPr>
          <w:rFonts w:ascii="Times New Roman" w:hAnsi="Times New Roman"/>
          <w:b/>
          <w:sz w:val="24"/>
          <w:szCs w:val="24"/>
        </w:rPr>
      </w:r>
    </w:p>
    <w:p>
      <w:pPr>
        <w:pStyle w:val="Normal"/>
        <w:spacing w:lineRule="auto" w:line="280" w:before="0" w:after="0"/>
        <w:ind w:firstLine="851"/>
        <w:rPr>
          <w:rFonts w:ascii="Times New Roman" w:hAnsi="Times New Roman"/>
          <w:b/>
          <w:b/>
          <w:sz w:val="24"/>
          <w:szCs w:val="24"/>
        </w:rPr>
      </w:pPr>
      <w:r>
        <w:rPr>
          <w:rFonts w:ascii="Times New Roman" w:hAnsi="Times New Roman"/>
          <w:b/>
          <w:sz w:val="24"/>
          <w:szCs w:val="24"/>
        </w:rPr>
        <w:t>Водные ресурсы</w:t>
      </w:r>
    </w:p>
    <w:p>
      <w:pPr>
        <w:pStyle w:val="Normal"/>
        <w:spacing w:lineRule="auto" w:line="280" w:before="0" w:after="0"/>
        <w:ind w:firstLine="851"/>
        <w:jc w:val="both"/>
        <w:rPr>
          <w:rFonts w:ascii="Times New Roman" w:hAnsi="Times New Roman"/>
          <w:i/>
          <w:i/>
          <w:sz w:val="24"/>
          <w:szCs w:val="24"/>
        </w:rPr>
      </w:pPr>
      <w:r>
        <w:rPr>
          <w:rFonts w:ascii="Times New Roman" w:hAnsi="Times New Roman"/>
          <w:i/>
          <w:sz w:val="24"/>
          <w:szCs w:val="24"/>
        </w:rPr>
        <w:t>Поверхностные воды</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Гидрографическая сеть территории представлена ручьем Ельшанка, который течет в направлении с востока на северо-запад. Берега его ассиметричны: правый крутой, левый пологий. Русло зигзагообразное, течение медленное. Пониженные места ее заболочены и кочковаты. В настоящее время ручей маловоден. Из искусственных водоемов имеется ряд прудов по балкам. Вода в этих прудах держится в течении всего года и используется главным образом для водопоя скота.</w:t>
      </w:r>
    </w:p>
    <w:p>
      <w:pPr>
        <w:pStyle w:val="Normal"/>
        <w:suppressAutoHyphens w:val="true"/>
        <w:spacing w:lineRule="auto" w:line="280" w:before="0" w:after="0"/>
        <w:ind w:firstLine="851"/>
        <w:jc w:val="both"/>
        <w:rPr>
          <w:rFonts w:ascii="Times New Roman" w:hAnsi="Times New Roman"/>
          <w:i/>
          <w:i/>
          <w:sz w:val="24"/>
          <w:szCs w:val="24"/>
        </w:rPr>
      </w:pPr>
      <w:r>
        <w:rPr>
          <w:rFonts w:ascii="Times New Roman" w:hAnsi="Times New Roman"/>
          <w:i/>
          <w:sz w:val="24"/>
          <w:szCs w:val="24"/>
        </w:rPr>
        <w:t>Подземные воды</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 xml:space="preserve">Уровень залегания грунтовых вод в некоторых местах имеет значительные                           колебания от 5- 7м, на более пониженных участках 10 м. </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Вода в колодцах приятна на вкус и не жесткая.</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 xml:space="preserve">В гидрогеологическом отношении изучаемая местность приурочена к центральной части Волго-Сурского артезианского бассейна. </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Прогнозные эксплуатационные запасы подземных вод (ПЭРПВ) основных эксплуатируемых водоносных горизонтах, являющихся источниками крупного централизованного водоснабжения, сосредоточены в трещиноватых кавернозных, иногда закарстованных известняках, и доломитах нижне казанского и каменноугольного возраста. Они составляют - 2,43 млн. м</w:t>
      </w:r>
      <w:r>
        <w:rPr>
          <w:rFonts w:ascii="Times New Roman" w:hAnsi="Times New Roman"/>
          <w:sz w:val="24"/>
          <w:szCs w:val="24"/>
          <w:vertAlign w:val="superscript"/>
        </w:rPr>
        <w:t>3</w:t>
      </w:r>
      <w:r>
        <w:rPr>
          <w:rFonts w:ascii="Times New Roman" w:hAnsi="Times New Roman"/>
          <w:sz w:val="24"/>
          <w:szCs w:val="24"/>
        </w:rPr>
        <w:t>/сут., что соответствует величине модуля ПЭРПВ, равным 1,08 л/с км</w:t>
      </w:r>
      <w:r>
        <w:rPr>
          <w:rFonts w:ascii="Times New Roman" w:hAnsi="Times New Roman"/>
          <w:sz w:val="24"/>
          <w:szCs w:val="24"/>
          <w:vertAlign w:val="superscript"/>
        </w:rPr>
        <w:t>2</w:t>
      </w:r>
      <w:r>
        <w:rPr>
          <w:rFonts w:ascii="Times New Roman" w:hAnsi="Times New Roman"/>
          <w:sz w:val="24"/>
          <w:szCs w:val="24"/>
        </w:rPr>
        <w:t>.</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t>Учитывая наличие крупного водоотбора, целесообразно провести гидрогеологические работы по утверждению запасов подземных вод сконцентрированных водозаборов с целью упорядочения процесса бессистемного освоения эксплуатационных ресурсов водоносных нижне- и среднекаменноугольного горизонтов.</w:t>
      </w:r>
    </w:p>
    <w:p>
      <w:pPr>
        <w:pStyle w:val="Normal"/>
        <w:suppressAutoHyphens w:val="true"/>
        <w:spacing w:lineRule="auto" w:line="280" w:before="0" w:after="0"/>
        <w:ind w:firstLine="851"/>
        <w:jc w:val="both"/>
        <w:rPr>
          <w:rFonts w:ascii="Times New Roman" w:hAnsi="Times New Roman"/>
          <w:sz w:val="24"/>
          <w:szCs w:val="24"/>
        </w:rPr>
      </w:pPr>
      <w:r>
        <w:rPr>
          <w:rFonts w:ascii="Times New Roman" w:hAnsi="Times New Roman"/>
          <w:sz w:val="24"/>
          <w:szCs w:val="24"/>
        </w:rPr>
      </w:r>
    </w:p>
    <w:p>
      <w:pPr>
        <w:pStyle w:val="Normal"/>
        <w:suppressAutoHyphens w:val="true"/>
        <w:spacing w:lineRule="auto" w:line="280" w:before="0" w:after="0"/>
        <w:ind w:firstLine="851"/>
        <w:jc w:val="both"/>
        <w:rPr>
          <w:rFonts w:ascii="Times New Roman" w:hAnsi="Times New Roman"/>
          <w:b/>
          <w:b/>
          <w:sz w:val="24"/>
        </w:rPr>
      </w:pPr>
      <w:r>
        <w:rPr>
          <w:rFonts w:ascii="Times New Roman" w:hAnsi="Times New Roman"/>
          <w:b/>
          <w:sz w:val="24"/>
        </w:rPr>
        <w:t>Минерально–сырьевые ресурсы</w:t>
      </w:r>
    </w:p>
    <w:p>
      <w:pPr>
        <w:pStyle w:val="Normal"/>
        <w:widowControl w:val="false"/>
        <w:spacing w:lineRule="auto" w:line="280" w:before="0" w:after="0"/>
        <w:ind w:firstLine="851"/>
        <w:jc w:val="both"/>
        <w:rPr>
          <w:rFonts w:ascii="Times New Roman" w:hAnsi="Times New Roman"/>
          <w:bCs/>
          <w:sz w:val="24"/>
        </w:rPr>
      </w:pPr>
      <w:r>
        <w:rPr>
          <w:rFonts w:ascii="Times New Roman" w:hAnsi="Times New Roman"/>
          <w:bCs/>
          <w:sz w:val="24"/>
        </w:rPr>
        <w:t xml:space="preserve">На территории Татарско-Тавлинского сельского поселения отсутствуют месторождения полезных ископаемых. </w:t>
      </w:r>
    </w:p>
    <w:p>
      <w:pPr>
        <w:pStyle w:val="Normal"/>
        <w:widowControl w:val="false"/>
        <w:spacing w:lineRule="auto" w:line="280" w:before="0" w:after="0"/>
        <w:ind w:firstLine="851"/>
        <w:jc w:val="both"/>
        <w:rPr>
          <w:rFonts w:ascii="Times New Roman" w:hAnsi="Times New Roman"/>
          <w:bCs/>
          <w:sz w:val="24"/>
        </w:rPr>
      </w:pPr>
      <w:r>
        <w:rPr>
          <w:rFonts w:ascii="Times New Roman" w:hAnsi="Times New Roman"/>
          <w:bCs/>
          <w:sz w:val="24"/>
        </w:rPr>
      </w:r>
    </w:p>
    <w:p>
      <w:pPr>
        <w:pStyle w:val="Normal"/>
        <w:spacing w:lineRule="auto" w:line="280" w:before="0" w:after="0"/>
        <w:ind w:firstLine="851"/>
        <w:jc w:val="both"/>
        <w:rPr>
          <w:rFonts w:ascii="Times New Roman" w:hAnsi="Times New Roman"/>
          <w:sz w:val="24"/>
          <w:szCs w:val="24"/>
        </w:rPr>
      </w:pPr>
      <w:r>
        <w:rPr>
          <w:rFonts w:ascii="Times New Roman" w:hAnsi="Times New Roman"/>
          <w:b/>
          <w:sz w:val="24"/>
          <w:szCs w:val="24"/>
        </w:rPr>
        <w:t>Почвы и растительность</w:t>
      </w:r>
    </w:p>
    <w:p>
      <w:pPr>
        <w:pStyle w:val="Normal"/>
        <w:spacing w:lineRule="auto" w:line="280" w:before="0" w:after="0"/>
        <w:ind w:firstLine="851"/>
        <w:jc w:val="both"/>
        <w:rPr>
          <w:rFonts w:ascii="Times New Roman" w:hAnsi="Times New Roman"/>
          <w:i/>
          <w:i/>
          <w:sz w:val="24"/>
          <w:szCs w:val="24"/>
        </w:rPr>
      </w:pPr>
      <w:r>
        <w:rPr>
          <w:rFonts w:ascii="Times New Roman" w:hAnsi="Times New Roman"/>
          <w:i/>
          <w:sz w:val="24"/>
          <w:szCs w:val="24"/>
        </w:rPr>
        <w:t>Почвы</w:t>
      </w:r>
    </w:p>
    <w:p>
      <w:pPr>
        <w:pStyle w:val="ListParagraph"/>
        <w:tabs>
          <w:tab w:val="clear" w:pos="709"/>
          <w:tab w:val="left" w:pos="993" w:leader="none"/>
        </w:tabs>
        <w:spacing w:lineRule="auto" w:line="280" w:before="0" w:after="0"/>
        <w:ind w:left="0" w:firstLine="851"/>
        <w:jc w:val="both"/>
        <w:rPr>
          <w:rFonts w:ascii="Times New Roman" w:hAnsi="Times New Roman"/>
          <w:sz w:val="24"/>
          <w:szCs w:val="24"/>
        </w:rPr>
      </w:pPr>
      <w:r>
        <w:rPr>
          <w:rFonts w:ascii="Times New Roman" w:hAnsi="Times New Roman"/>
          <w:sz w:val="24"/>
          <w:szCs w:val="24"/>
        </w:rPr>
        <w:t xml:space="preserve">Преобладающими почвами на территории сельского поселения являются черноземы, которые представлены двумя подтипами - выщелоченными и оподзоленными. Серые лесные оподзоленные, серые лесные оподзоленные почвы. </w:t>
      </w:r>
    </w:p>
    <w:p>
      <w:pPr>
        <w:pStyle w:val="ListParagraph"/>
        <w:tabs>
          <w:tab w:val="clear" w:pos="709"/>
          <w:tab w:val="left" w:pos="993" w:leader="none"/>
        </w:tabs>
        <w:spacing w:lineRule="auto" w:line="280" w:before="0" w:after="0"/>
        <w:ind w:left="0" w:firstLine="851"/>
        <w:jc w:val="both"/>
        <w:rPr>
          <w:rFonts w:ascii="Times New Roman" w:hAnsi="Times New Roman"/>
          <w:sz w:val="24"/>
          <w:szCs w:val="24"/>
        </w:rPr>
      </w:pPr>
      <w:r>
        <w:rPr>
          <w:rFonts w:ascii="Times New Roman" w:hAnsi="Times New Roman"/>
          <w:sz w:val="24"/>
          <w:szCs w:val="24"/>
        </w:rPr>
        <w:t>Сформировались данные почвы на делювиальных отложениях на пологих склонах. Характерными особенностями морфологии оподзоленных черноземов являются: наличие кремнеземистой присыпки в гумусовом слое. Обычно она в виде белесоватого налета как бы припудривает структурные отдельности в горизонте, под гумусовым слоем выделяется иллювиальный, уплотненный, выщелоченный горизонт, имеющий ореховатую или призматическую структуру.</w:t>
      </w:r>
    </w:p>
    <w:p>
      <w:pPr>
        <w:pStyle w:val="ListParagraph"/>
        <w:tabs>
          <w:tab w:val="clear" w:pos="709"/>
          <w:tab w:val="left" w:pos="993" w:leader="none"/>
        </w:tabs>
        <w:spacing w:before="0" w:after="0"/>
        <w:ind w:left="0" w:firstLine="851"/>
        <w:jc w:val="both"/>
        <w:rPr>
          <w:rFonts w:ascii="Times New Roman" w:hAnsi="Times New Roman"/>
          <w:sz w:val="24"/>
          <w:szCs w:val="24"/>
        </w:rPr>
      </w:pPr>
      <w:r>
        <w:rPr>
          <w:rFonts w:ascii="Times New Roman" w:hAnsi="Times New Roman"/>
          <w:sz w:val="24"/>
          <w:szCs w:val="24"/>
        </w:rPr>
      </w:r>
    </w:p>
    <w:p>
      <w:pPr>
        <w:pStyle w:val="ListParagraph"/>
        <w:tabs>
          <w:tab w:val="clear" w:pos="709"/>
          <w:tab w:val="left" w:pos="993" w:leader="none"/>
        </w:tabs>
        <w:spacing w:lineRule="auto" w:line="280" w:before="0" w:after="0"/>
        <w:ind w:left="0" w:firstLine="851"/>
        <w:jc w:val="both"/>
        <w:rPr>
          <w:rFonts w:ascii="Times New Roman" w:hAnsi="Times New Roman"/>
          <w:b/>
          <w:b/>
          <w:sz w:val="24"/>
          <w:szCs w:val="24"/>
        </w:rPr>
      </w:pPr>
      <w:r>
        <w:rPr>
          <w:rFonts w:ascii="Times New Roman" w:hAnsi="Times New Roman"/>
          <w:b/>
          <w:sz w:val="24"/>
          <w:szCs w:val="24"/>
        </w:rPr>
        <w:t>Растительность</w:t>
      </w:r>
    </w:p>
    <w:p>
      <w:pPr>
        <w:pStyle w:val="Normal"/>
        <w:spacing w:lineRule="auto" w:line="280" w:before="0" w:after="0"/>
        <w:ind w:firstLine="851"/>
        <w:jc w:val="both"/>
        <w:rPr>
          <w:rFonts w:ascii="Times New Roman" w:hAnsi="Times New Roman"/>
          <w:bCs/>
          <w:sz w:val="24"/>
          <w:szCs w:val="24"/>
        </w:rPr>
      </w:pPr>
      <w:r>
        <w:rPr>
          <w:rFonts w:ascii="Times New Roman" w:hAnsi="Times New Roman"/>
          <w:bCs/>
          <w:sz w:val="24"/>
          <w:szCs w:val="24"/>
        </w:rPr>
        <w:t>Татарско-Тавлинское сельское поселение расположено в лесостепной зоне.</w:t>
      </w:r>
    </w:p>
    <w:p>
      <w:pPr>
        <w:pStyle w:val="Normal"/>
        <w:spacing w:lineRule="auto" w:line="280" w:before="0" w:after="0"/>
        <w:ind w:firstLine="851"/>
        <w:jc w:val="both"/>
        <w:rPr>
          <w:rFonts w:ascii="Times New Roman" w:hAnsi="Times New Roman"/>
          <w:bCs/>
          <w:sz w:val="24"/>
          <w:szCs w:val="24"/>
        </w:rPr>
      </w:pPr>
      <w:r>
        <w:rPr>
          <w:rFonts w:ascii="Times New Roman" w:hAnsi="Times New Roman"/>
          <w:bCs/>
          <w:sz w:val="24"/>
          <w:szCs w:val="24"/>
        </w:rPr>
        <w:t>Травостой    их    представлен    разнотравно-злаковой   и    сложноцветной-злаковой</w:t>
      </w:r>
    </w:p>
    <w:p>
      <w:pPr>
        <w:pStyle w:val="Normal"/>
        <w:spacing w:lineRule="auto" w:line="280" w:before="0" w:after="0"/>
        <w:jc w:val="both"/>
        <w:rPr>
          <w:rFonts w:ascii="Times New Roman" w:hAnsi="Times New Roman"/>
          <w:bCs/>
          <w:sz w:val="24"/>
          <w:szCs w:val="24"/>
        </w:rPr>
      </w:pPr>
      <w:r>
        <w:rPr>
          <w:rFonts w:ascii="Times New Roman" w:hAnsi="Times New Roman"/>
          <w:bCs/>
          <w:sz w:val="24"/>
          <w:szCs w:val="24"/>
        </w:rPr>
        <w:t>ассоциацией. Эти кормовые угодья невысокого качества вследствие закочкаренности, сбитости и засоренности крупностебельными сорняками.</w:t>
      </w:r>
    </w:p>
    <w:p>
      <w:pPr>
        <w:pStyle w:val="Normal"/>
        <w:spacing w:lineRule="auto" w:line="280" w:before="0" w:after="0"/>
        <w:ind w:firstLine="851"/>
        <w:jc w:val="both"/>
        <w:rPr>
          <w:rFonts w:ascii="Times New Roman" w:hAnsi="Times New Roman"/>
          <w:bCs/>
          <w:sz w:val="24"/>
          <w:szCs w:val="24"/>
        </w:rPr>
      </w:pPr>
      <w:r>
        <w:rPr>
          <w:rFonts w:ascii="Times New Roman" w:hAnsi="Times New Roman"/>
          <w:bCs/>
          <w:sz w:val="24"/>
          <w:szCs w:val="24"/>
        </w:rPr>
        <w:t>В состав травостоя входит: щучка, полевица белая, клевер ползучий, клевер луговой,</w:t>
      </w:r>
    </w:p>
    <w:p>
      <w:pPr>
        <w:pStyle w:val="Normal"/>
        <w:spacing w:before="0" w:after="0"/>
        <w:jc w:val="both"/>
        <w:rPr>
          <w:rFonts w:ascii="Times New Roman" w:hAnsi="Times New Roman"/>
          <w:bCs/>
          <w:sz w:val="24"/>
          <w:szCs w:val="24"/>
        </w:rPr>
      </w:pPr>
      <w:r>
        <w:rPr>
          <w:rFonts w:ascii="Times New Roman" w:hAnsi="Times New Roman"/>
          <w:bCs/>
          <w:sz w:val="24"/>
          <w:szCs w:val="24"/>
        </w:rPr>
        <w:t>лапчатка гусиная, лютик едкий, щавель конский. В лощинах преобладает влаголюбивое разнотравье с преобладанием осоковых.</w:t>
      </w:r>
    </w:p>
    <w:p>
      <w:pPr>
        <w:pStyle w:val="Normal"/>
        <w:spacing w:before="0" w:after="0"/>
        <w:jc w:val="both"/>
        <w:rPr>
          <w:rFonts w:ascii="Times New Roman" w:hAnsi="Times New Roman"/>
          <w:bCs/>
          <w:sz w:val="24"/>
          <w:szCs w:val="24"/>
        </w:rPr>
      </w:pPr>
      <w:r>
        <w:rPr>
          <w:rFonts w:ascii="Times New Roman" w:hAnsi="Times New Roman"/>
          <w:bCs/>
          <w:sz w:val="24"/>
          <w:szCs w:val="24"/>
        </w:rPr>
      </w:r>
    </w:p>
    <w:p>
      <w:pPr>
        <w:pStyle w:val="Normal"/>
        <w:spacing w:before="0" w:after="0"/>
        <w:ind w:firstLine="851"/>
        <w:contextualSpacing/>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2.3 Динамика численности населения</w:t>
      </w:r>
    </w:p>
    <w:p>
      <w:pPr>
        <w:pStyle w:val="Normal"/>
        <w:spacing w:before="0" w:after="0"/>
        <w:contextualSpacing/>
        <w:rPr/>
      </w:pPr>
      <w:r>
        <w:rPr/>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Численность населения Татарско-Тавлинского сельского поселения на период 01.01.2024 года составляет 747 человек (</w:t>
      </w:r>
      <w:r>
        <w:rPr>
          <w:rFonts w:cs="Times New Roman" w:ascii="Times New Roman" w:hAnsi="Times New Roman"/>
          <w:i/>
          <w:sz w:val="24"/>
          <w:szCs w:val="24"/>
        </w:rPr>
        <w:t>согласно информации с официального сайта гос. статистики</w:t>
      </w:r>
      <w:r>
        <w:rPr>
          <w:rFonts w:cs="Times New Roman" w:ascii="Times New Roman" w:hAnsi="Times New Roman"/>
          <w:sz w:val="24"/>
          <w:szCs w:val="24"/>
        </w:rPr>
        <w:t>).</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851"/>
        <w:contextualSpacing/>
        <w:jc w:val="both"/>
        <w:rPr>
          <w:rFonts w:ascii="Times New Roman" w:hAnsi="Times New Roman" w:cs="Times New Roman"/>
          <w:i/>
          <w:i/>
          <w:sz w:val="24"/>
          <w:szCs w:val="24"/>
        </w:rPr>
      </w:pPr>
      <w:r>
        <w:rPr>
          <w:rFonts w:cs="Times New Roman" w:ascii="Times New Roman" w:hAnsi="Times New Roman"/>
          <w:i/>
          <w:sz w:val="24"/>
          <w:szCs w:val="24"/>
        </w:rPr>
        <w:t>Таблица 2.3-1 Динамика численности населения Татарско-Тавлинского сельского поселения</w:t>
      </w:r>
    </w:p>
    <w:tbl>
      <w:tblPr>
        <w:tblW w:w="9238" w:type="dxa"/>
        <w:jc w:val="center"/>
        <w:tblInd w:w="0" w:type="dxa"/>
        <w:tblCellMar>
          <w:top w:w="48" w:type="dxa"/>
          <w:left w:w="96" w:type="dxa"/>
          <w:bottom w:w="48" w:type="dxa"/>
          <w:right w:w="96" w:type="dxa"/>
        </w:tblCellMar>
        <w:tblLook w:firstRow="1" w:noVBand="1" w:lastRow="0" w:firstColumn="1" w:lastColumn="0" w:noHBand="0" w:val="04a0"/>
      </w:tblPr>
      <w:tblGrid>
        <w:gridCol w:w="659"/>
        <w:gridCol w:w="660"/>
        <w:gridCol w:w="658"/>
        <w:gridCol w:w="660"/>
        <w:gridCol w:w="660"/>
        <w:gridCol w:w="659"/>
        <w:gridCol w:w="660"/>
        <w:gridCol w:w="658"/>
        <w:gridCol w:w="660"/>
        <w:gridCol w:w="660"/>
        <w:gridCol w:w="659"/>
        <w:gridCol w:w="660"/>
        <w:gridCol w:w="659"/>
        <w:gridCol w:w="665"/>
      </w:tblGrid>
      <w:tr>
        <w:trPr>
          <w:trHeight w:val="482" w:hRule="atLeast"/>
          <w:cantSplit w:val="true"/>
        </w:trPr>
        <w:tc>
          <w:tcPr>
            <w:tcW w:w="659"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2002</w:t>
            </w:r>
          </w:p>
        </w:tc>
        <w:tc>
          <w:tcPr>
            <w:tcW w:w="660"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2010</w:t>
            </w:r>
          </w:p>
        </w:tc>
        <w:tc>
          <w:tcPr>
            <w:tcW w:w="65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2012</w:t>
            </w:r>
          </w:p>
        </w:tc>
        <w:tc>
          <w:tcPr>
            <w:tcW w:w="660"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2013</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2014</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2015</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2016</w:t>
            </w:r>
          </w:p>
        </w:tc>
        <w:tc>
          <w:tcPr>
            <w:tcW w:w="658" w:type="dxa"/>
            <w:tcBorders>
              <w:top w:val="single" w:sz="6" w:space="0" w:color="000000"/>
              <w:left w:val="single" w:sz="2" w:space="0" w:color="000000"/>
              <w:bottom w:val="single" w:sz="6" w:space="0" w:color="000000"/>
              <w:right w:val="single" w:sz="6"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2017</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2018</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2019</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2020</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2021</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2023</w:t>
            </w:r>
          </w:p>
        </w:tc>
        <w:tc>
          <w:tcPr>
            <w:tcW w:w="665"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b/>
                <w:b/>
                <w:bCs/>
              </w:rPr>
            </w:pPr>
            <w:r>
              <w:rPr>
                <w:rFonts w:cs="Times New Roman" w:ascii="Times New Roman" w:hAnsi="Times New Roman"/>
                <w:b/>
                <w:bCs/>
              </w:rPr>
              <w:t>2024</w:t>
            </w:r>
          </w:p>
        </w:tc>
      </w:tr>
      <w:tr>
        <w:trPr>
          <w:trHeight w:val="460" w:hRule="atLeast"/>
          <w:cantSplit w:val="true"/>
        </w:trPr>
        <w:tc>
          <w:tcPr>
            <w:tcW w:w="659"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rPr>
              <w:t>806</w:t>
            </w:r>
          </w:p>
        </w:tc>
        <w:tc>
          <w:tcPr>
            <w:tcW w:w="660"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794</w:t>
            </w:r>
          </w:p>
        </w:tc>
        <w:tc>
          <w:tcPr>
            <w:tcW w:w="65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805</w:t>
            </w:r>
          </w:p>
        </w:tc>
        <w:tc>
          <w:tcPr>
            <w:tcW w:w="660"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808</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835</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857</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rPr>
              <w:t>861</w:t>
            </w:r>
          </w:p>
        </w:tc>
        <w:tc>
          <w:tcPr>
            <w:tcW w:w="658" w:type="dxa"/>
            <w:tcBorders>
              <w:top w:val="single" w:sz="6" w:space="0" w:color="000000"/>
              <w:left w:val="single" w:sz="2" w:space="0" w:color="000000"/>
              <w:bottom w:val="single" w:sz="6" w:space="0" w:color="000000"/>
              <w:right w:val="single" w:sz="6"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rPr>
            </w:pPr>
            <w:r>
              <w:rPr>
                <w:rFonts w:cs="Times New Roman" w:ascii="Times New Roman" w:hAnsi="Times New Roman"/>
                <w:color w:val="202122"/>
                <w:shd w:fill="FFFFFF" w:val="clear"/>
              </w:rPr>
              <w:t>857</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rPr>
            </w:pPr>
            <w:r>
              <w:rPr>
                <w:rFonts w:cs="Times New Roman" w:ascii="Times New Roman" w:hAnsi="Times New Roman"/>
                <w:color w:val="202122"/>
              </w:rPr>
              <w:t>839</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rPr>
            </w:pPr>
            <w:r>
              <w:rPr>
                <w:rFonts w:cs="Times New Roman" w:ascii="Times New Roman" w:hAnsi="Times New Roman"/>
                <w:color w:val="202122"/>
                <w:shd w:fill="FFFFFF" w:val="clear"/>
              </w:rPr>
              <w:t>830</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highlight w:val="white"/>
              </w:rPr>
            </w:pPr>
            <w:r>
              <w:rPr>
                <w:rFonts w:cs="Times New Roman" w:ascii="Times New Roman" w:hAnsi="Times New Roman"/>
                <w:color w:val="202122"/>
                <w:shd w:fill="FFFFFF" w:val="clear"/>
              </w:rPr>
              <w:t>831</w:t>
            </w:r>
          </w:p>
        </w:tc>
        <w:tc>
          <w:tcPr>
            <w:tcW w:w="660"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highlight w:val="white"/>
              </w:rPr>
            </w:pPr>
            <w:r>
              <w:rPr>
                <w:rFonts w:cs="Times New Roman" w:ascii="Times New Roman" w:hAnsi="Times New Roman"/>
                <w:color w:val="202122"/>
                <w:shd w:fill="FFFFFF" w:val="clear"/>
              </w:rPr>
              <w:t>777</w:t>
            </w:r>
          </w:p>
        </w:tc>
        <w:tc>
          <w:tcPr>
            <w:tcW w:w="659"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highlight w:val="white"/>
              </w:rPr>
            </w:pPr>
            <w:r>
              <w:rPr>
                <w:rFonts w:cs="Times New Roman" w:ascii="Times New Roman" w:hAnsi="Times New Roman"/>
                <w:color w:val="202122"/>
                <w:shd w:fill="FFFFFF" w:val="clear"/>
              </w:rPr>
              <w:t>755</w:t>
            </w:r>
          </w:p>
        </w:tc>
        <w:tc>
          <w:tcPr>
            <w:tcW w:w="665" w:type="dxa"/>
            <w:tcBorders>
              <w:top w:val="single" w:sz="6" w:space="0" w:color="000000"/>
              <w:left w:val="single" w:sz="2" w:space="0" w:color="000000"/>
              <w:bottom w:val="single" w:sz="6" w:space="0" w:color="000000"/>
              <w:right w:val="single" w:sz="2" w:space="0" w:color="000000"/>
            </w:tcBorders>
            <w:shd w:fill="auto" w:val="clear"/>
            <w:tcMar>
              <w:top w:w="15" w:type="dxa"/>
              <w:left w:w="15" w:type="dxa"/>
              <w:bottom w:w="15" w:type="dxa"/>
              <w:right w:w="15" w:type="dxa"/>
            </w:tcMar>
            <w:vAlign w:val="center"/>
          </w:tcPr>
          <w:p>
            <w:pPr>
              <w:pStyle w:val="Normal"/>
              <w:spacing w:before="0" w:after="0"/>
              <w:contextualSpacing/>
              <w:jc w:val="center"/>
              <w:rPr>
                <w:rFonts w:ascii="Times New Roman" w:hAnsi="Times New Roman" w:cs="Times New Roman"/>
                <w:color w:val="202122"/>
                <w:highlight w:val="white"/>
              </w:rPr>
            </w:pPr>
            <w:r>
              <w:rPr>
                <w:rFonts w:cs="Times New Roman" w:ascii="Times New Roman" w:hAnsi="Times New Roman"/>
                <w:color w:val="202122"/>
                <w:shd w:fill="FFFFFF" w:val="clear"/>
              </w:rPr>
              <w:t>747</w:t>
            </w:r>
          </w:p>
        </w:tc>
      </w:tr>
    </w:tbl>
    <w:p>
      <w:pPr>
        <w:pStyle w:val="Normal"/>
        <w:widowControl w:val="false"/>
        <w:spacing w:before="0" w:after="0"/>
        <w:ind w:right="-57"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lineRule="auto" w:line="280" w:before="0" w:after="0"/>
        <w:ind w:right="-57" w:firstLine="851"/>
        <w:contextualSpacing/>
        <w:jc w:val="both"/>
        <w:rPr>
          <w:rFonts w:ascii="Times New Roman" w:hAnsi="Times New Roman" w:cs="Times New Roman"/>
          <w:sz w:val="24"/>
          <w:szCs w:val="24"/>
        </w:rPr>
      </w:pPr>
      <w:r>
        <w:rPr>
          <w:rFonts w:cs="Times New Roman" w:ascii="Times New Roman" w:hAnsi="Times New Roman"/>
          <w:sz w:val="24"/>
          <w:szCs w:val="24"/>
        </w:rPr>
        <w:t>Демографическая ситуация характеризуется продолжающимся процессом естественной убыли населения (</w:t>
      </w:r>
      <w:r>
        <w:rPr>
          <w:rFonts w:cs="Times New Roman" w:ascii="Times New Roman" w:hAnsi="Times New Roman"/>
          <w:i/>
          <w:sz w:val="24"/>
          <w:szCs w:val="24"/>
        </w:rPr>
        <w:t>согласно информации с официального сайта гос. статистики</w:t>
      </w:r>
      <w:r>
        <w:rPr>
          <w:rFonts w:cs="Times New Roman" w:ascii="Times New Roman" w:hAnsi="Times New Roman"/>
          <w:sz w:val="24"/>
          <w:szCs w:val="24"/>
        </w:rPr>
        <w:t xml:space="preserve">), связанной с превышением смертности над рождаемостью. </w:t>
      </w:r>
    </w:p>
    <w:p>
      <w:pPr>
        <w:pStyle w:val="Normal"/>
        <w:widowControl w:val="false"/>
        <w:spacing w:before="0" w:after="0"/>
        <w:ind w:right="-57"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709"/>
        <w:contextualSpacing/>
        <w:rPr>
          <w:rFonts w:ascii="Times New Roman" w:hAnsi="Times New Roman" w:cs="Times New Roman"/>
          <w:i/>
          <w:i/>
          <w:sz w:val="24"/>
          <w:szCs w:val="24"/>
        </w:rPr>
      </w:pPr>
      <w:r>
        <w:rPr>
          <w:rFonts w:cs="Times New Roman" w:ascii="Times New Roman" w:hAnsi="Times New Roman"/>
          <w:i/>
          <w:sz w:val="24"/>
          <w:szCs w:val="24"/>
        </w:rPr>
        <w:t>Таблица 2.3-2 - Состав сельского поселения</w:t>
      </w:r>
    </w:p>
    <w:tbl>
      <w:tblPr>
        <w:tblW w:w="8416" w:type="dxa"/>
        <w:jc w:val="center"/>
        <w:tblInd w:w="0" w:type="dxa"/>
        <w:tblCellMar>
          <w:top w:w="48" w:type="dxa"/>
          <w:left w:w="96" w:type="dxa"/>
          <w:bottom w:w="48" w:type="dxa"/>
          <w:right w:w="96" w:type="dxa"/>
        </w:tblCellMar>
        <w:tblLook w:firstRow="1" w:noVBand="1" w:lastRow="0" w:firstColumn="1" w:lastColumn="0" w:noHBand="0" w:val="04a0"/>
      </w:tblPr>
      <w:tblGrid>
        <w:gridCol w:w="619"/>
        <w:gridCol w:w="3543"/>
        <w:gridCol w:w="4254"/>
      </w:tblGrid>
      <w:tr>
        <w:trPr/>
        <w:tc>
          <w:tcPr>
            <w:tcW w:w="619"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sz w:val="24"/>
                <w:szCs w:val="24"/>
              </w:rPr>
            </w:pPr>
            <w:r>
              <w:rPr>
                <w:rFonts w:cs="Times New Roman" w:ascii="Times New Roman" w:hAnsi="Times New Roman"/>
                <w:b/>
                <w:bCs/>
                <w:sz w:val="24"/>
                <w:szCs w:val="24"/>
              </w:rPr>
              <w:t>№</w:t>
            </w:r>
          </w:p>
        </w:tc>
        <w:tc>
          <w:tcPr>
            <w:tcW w:w="354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sz w:val="24"/>
                <w:szCs w:val="24"/>
              </w:rPr>
            </w:pPr>
            <w:r>
              <w:rPr>
                <w:rFonts w:cs="Times New Roman" w:ascii="Times New Roman" w:hAnsi="Times New Roman"/>
                <w:b/>
                <w:bCs/>
                <w:sz w:val="24"/>
                <w:szCs w:val="24"/>
              </w:rPr>
              <w:t>Населённый пункт</w:t>
            </w:r>
          </w:p>
        </w:tc>
        <w:tc>
          <w:tcPr>
            <w:tcW w:w="425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b/>
                <w:b/>
                <w:bCs/>
                <w:sz w:val="24"/>
                <w:szCs w:val="24"/>
              </w:rPr>
            </w:pPr>
            <w:r>
              <w:rPr>
                <w:rFonts w:cs="Times New Roman" w:ascii="Times New Roman" w:hAnsi="Times New Roman"/>
                <w:b/>
                <w:bCs/>
                <w:sz w:val="24"/>
                <w:szCs w:val="24"/>
              </w:rPr>
              <w:t>Тип населённого пункта</w:t>
            </w:r>
          </w:p>
        </w:tc>
      </w:tr>
      <w:tr>
        <w:trPr/>
        <w:tc>
          <w:tcPr>
            <w:tcW w:w="619"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sz w:val="24"/>
                <w:szCs w:val="24"/>
              </w:rPr>
            </w:pPr>
            <w:r>
              <w:rPr>
                <w:rFonts w:cs="Times New Roman" w:ascii="Times New Roman" w:hAnsi="Times New Roman"/>
                <w:sz w:val="24"/>
                <w:szCs w:val="24"/>
              </w:rPr>
              <w:t>1</w:t>
            </w:r>
          </w:p>
        </w:tc>
        <w:tc>
          <w:tcPr>
            <w:tcW w:w="354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sz w:val="24"/>
                <w:szCs w:val="24"/>
              </w:rPr>
            </w:pPr>
            <w:r>
              <w:rPr>
                <w:rFonts w:cs="Times New Roman" w:ascii="Times New Roman" w:hAnsi="Times New Roman"/>
                <w:sz w:val="24"/>
                <w:szCs w:val="24"/>
              </w:rPr>
              <w:t>Татарская Тавла</w:t>
            </w:r>
          </w:p>
        </w:tc>
        <w:tc>
          <w:tcPr>
            <w:tcW w:w="425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before="0" w:after="0"/>
              <w:contextualSpacing/>
              <w:jc w:val="center"/>
              <w:rPr>
                <w:rFonts w:ascii="Times New Roman" w:hAnsi="Times New Roman" w:cs="Times New Roman"/>
                <w:sz w:val="24"/>
                <w:szCs w:val="24"/>
              </w:rPr>
            </w:pPr>
            <w:r>
              <w:rPr>
                <w:rFonts w:cs="Times New Roman" w:ascii="Times New Roman" w:hAnsi="Times New Roman"/>
                <w:sz w:val="24"/>
                <w:szCs w:val="24"/>
              </w:rPr>
              <w:t>Село</w:t>
            </w:r>
          </w:p>
        </w:tc>
      </w:tr>
    </w:tbl>
    <w:p>
      <w:pPr>
        <w:pStyle w:val="Normal"/>
        <w:spacing w:before="0" w:after="0"/>
        <w:contextualSpacing/>
        <w:jc w:val="both"/>
        <w:rPr>
          <w:rFonts w:ascii="Times New Roman" w:hAnsi="Times New Roman" w:cs="Times New Roman"/>
          <w:i/>
          <w:i/>
          <w:sz w:val="24"/>
          <w:szCs w:val="24"/>
        </w:rPr>
      </w:pPr>
      <w:r>
        <w:rPr>
          <w:rFonts w:cs="Times New Roman" w:ascii="Times New Roman" w:hAnsi="Times New Roman"/>
          <w:i/>
          <w:sz w:val="24"/>
          <w:szCs w:val="24"/>
        </w:rPr>
      </w:r>
    </w:p>
    <w:p>
      <w:pPr>
        <w:pStyle w:val="Normal"/>
        <w:spacing w:lineRule="auto" w:line="280" w:before="0" w:after="0"/>
        <w:ind w:firstLine="851"/>
        <w:contextualSpacing/>
        <w:rPr>
          <w:rFonts w:ascii="Times New Roman" w:hAnsi="Times New Roman" w:eastAsia="Times New Roman" w:cs="Times New Roman"/>
          <w:b/>
          <w:b/>
          <w:color w:val="365F91" w:themeColor="accent1" w:themeShade="bf"/>
          <w:sz w:val="24"/>
          <w:szCs w:val="28"/>
        </w:rPr>
      </w:pPr>
      <w:r>
        <w:rPr>
          <w:rFonts w:eastAsia="Times New Roman" w:cs="Times New Roman" w:ascii="Times New Roman" w:hAnsi="Times New Roman"/>
          <w:b/>
          <w:color w:val="365F91" w:themeColor="accent1" w:themeShade="bf"/>
          <w:sz w:val="24"/>
          <w:szCs w:val="28"/>
        </w:rPr>
        <w:t>2.4 Социальная инфраструктура</w:t>
      </w:r>
    </w:p>
    <w:p>
      <w:pPr>
        <w:pStyle w:val="Normal"/>
        <w:spacing w:lineRule="auto" w:line="280" w:before="0" w:after="0"/>
        <w:ind w:firstLine="851"/>
        <w:contextualSpacing/>
        <w:rPr>
          <w:b/>
          <w:b/>
          <w:color w:val="365F91" w:themeColor="accent1" w:themeShade="bf"/>
        </w:rPr>
      </w:pPr>
      <w:r>
        <w:rPr>
          <w:b/>
          <w:color w:val="365F91" w:themeColor="accent1" w:themeShade="bf"/>
        </w:rPr>
      </w:r>
    </w:p>
    <w:p>
      <w:pPr>
        <w:pStyle w:val="S6"/>
        <w:spacing w:lineRule="auto" w:line="280" w:before="0" w:after="0"/>
        <w:ind w:firstLine="851"/>
        <w:contextualSpacing/>
        <w:rPr>
          <w:lang w:eastAsia="en-US" w:bidi="en-US"/>
        </w:rPr>
      </w:pPr>
      <w:r>
        <w:rPr>
          <w:lang w:eastAsia="en-US" w:bidi="en-US"/>
        </w:rPr>
        <w:t xml:space="preserve">При расчете показателей жилого фонда учитывается закон Республики Мордовия от 07.09.2011 года №5-З «О предоставлении в Республике Мордовия земельных участков гражданам, имеющим трех и более детей» (в редакции Законов Республики Мордовия от 30.03.2012 № 21 -З, от 26.03.2013 № 20-З, от 08.08.2013 № 58-З, от 10.09.2014 № 71 -З, от 16.04.2015 № 21 -З, от 03.09.2015 № 65-З, от 04.05.2016 № 31 -З). </w:t>
      </w:r>
    </w:p>
    <w:p>
      <w:pPr>
        <w:pStyle w:val="S6"/>
        <w:spacing w:lineRule="auto" w:line="280" w:before="0" w:after="0"/>
        <w:ind w:firstLine="851"/>
        <w:contextualSpacing/>
        <w:rPr>
          <w:lang w:eastAsia="en-US" w:bidi="en-US"/>
        </w:rPr>
      </w:pPr>
      <w:r>
        <w:rPr>
          <w:lang w:eastAsia="en-US" w:bidi="en-US"/>
        </w:rPr>
        <w:t>Порядок формирования перечня земельных участков, предназначенных для предоставления многодетным семьям, определяется органами местного самоуправления Лямбирского муниципального района.</w:t>
      </w:r>
    </w:p>
    <w:p>
      <w:pPr>
        <w:pStyle w:val="S6"/>
        <w:spacing w:lineRule="auto" w:line="280" w:before="0" w:after="0"/>
        <w:ind w:firstLine="851"/>
        <w:contextualSpacing/>
        <w:rPr>
          <w:lang w:eastAsia="en-US" w:bidi="en-US"/>
        </w:rPr>
      </w:pPr>
      <w:r>
        <w:rPr>
          <w:lang w:eastAsia="en-US" w:bidi="en-US"/>
        </w:rPr>
        <w:t>На территории Татарско-Тавлинского сельского поселения согласно решению Совета депутатов Татарско-Тавлинского сельского поселения Лямбирского муниципального                    района № 22 от 30.03.2012 действует «Порядок контроля за использованием и сохранностью жилищного фонда и соответствием жилых помещений, установленным санитарным и техническим правилам и нормам в Татарско-Тавлинском сельском поселении Лямбирского муниципального района Республики Мордовия».</w:t>
      </w:r>
    </w:p>
    <w:p>
      <w:pPr>
        <w:pStyle w:val="S6"/>
        <w:spacing w:lineRule="auto" w:line="285" w:before="0" w:after="0"/>
        <w:ind w:firstLine="851"/>
        <w:contextualSpacing/>
        <w:rPr/>
      </w:pPr>
      <w:r>
        <w:rPr/>
        <w:t>Региональные нормативы градостроительного проектирования Республики Мордовия, Утверждены постановлением Правительства Республики Мордовия от 8 августа 2016                        года № 409.</w:t>
      </w:r>
    </w:p>
    <w:p>
      <w:pPr>
        <w:pStyle w:val="S6"/>
        <w:spacing w:lineRule="auto" w:line="285" w:before="0" w:after="0"/>
        <w:ind w:firstLine="851"/>
        <w:contextualSpacing/>
        <w:rPr/>
      </w:pPr>
      <w:r>
        <w:rPr/>
        <w:t>Согласно данным норматива Лямбирского муниципального района, все сельские поселения Лямбирского муниципального относится к зоне высокой плотности                                                        расселения (от 30 чел./км(2)).</w:t>
      </w:r>
    </w:p>
    <w:p>
      <w:pPr>
        <w:pStyle w:val="S6"/>
        <w:spacing w:lineRule="auto" w:line="285" w:before="0" w:after="0"/>
        <w:ind w:firstLine="851"/>
        <w:contextualSpacing/>
        <w:rPr>
          <w:b/>
          <w:b/>
        </w:rPr>
      </w:pPr>
      <w:r>
        <w:rPr>
          <w:b/>
        </w:rPr>
      </w:r>
    </w:p>
    <w:p>
      <w:pPr>
        <w:pStyle w:val="S6"/>
        <w:spacing w:lineRule="auto" w:line="285" w:before="0" w:after="0"/>
        <w:ind w:firstLine="851"/>
        <w:contextualSpacing/>
        <w:rPr>
          <w:b/>
          <w:b/>
        </w:rPr>
      </w:pPr>
      <w:r>
        <w:rPr>
          <w:b/>
        </w:rPr>
        <w:t>Образование</w:t>
      </w:r>
    </w:p>
    <w:p>
      <w:pPr>
        <w:pStyle w:val="S6"/>
        <w:spacing w:lineRule="auto" w:line="285" w:before="0" w:after="0"/>
        <w:ind w:firstLine="851"/>
        <w:contextualSpacing/>
        <w:rPr/>
      </w:pPr>
      <w:r>
        <w:rPr/>
        <w:t xml:space="preserve">На территории Татарско-Тавлинского сельского поселения расположена одна общеобразовательная школа. </w:t>
      </w:r>
    </w:p>
    <w:p>
      <w:pPr>
        <w:pStyle w:val="S6"/>
        <w:spacing w:lineRule="auto" w:line="285" w:before="0" w:after="0"/>
        <w:contextualSpacing/>
        <w:rPr>
          <w:rFonts w:eastAsia="" w:eastAsiaTheme="minorEastAsia"/>
        </w:rPr>
      </w:pPr>
      <w:r>
        <w:rPr>
          <w:rFonts w:eastAsia="" w:eastAsiaTheme="minorEastAsia"/>
        </w:rPr>
      </w:r>
    </w:p>
    <w:p>
      <w:pPr>
        <w:pStyle w:val="S6"/>
        <w:spacing w:lineRule="auto" w:line="285" w:before="0" w:after="0"/>
        <w:contextualSpacing/>
        <w:rPr/>
      </w:pPr>
      <w:r>
        <w:rPr>
          <w:i/>
        </w:rPr>
        <w:t>Таблица 2.4-1</w:t>
      </w:r>
      <w:r>
        <w:rPr/>
        <w:t xml:space="preserve"> </w:t>
      </w:r>
      <w:r>
        <w:rPr>
          <w:i/>
        </w:rPr>
        <w:t>Характеристика объекта образования на территории                           Татарско-Тавлинского сельского поселения</w:t>
      </w:r>
    </w:p>
    <w:tbl>
      <w:tblPr>
        <w:tblStyle w:val="af5"/>
        <w:tblW w:w="9634" w:type="dxa"/>
        <w:jc w:val="left"/>
        <w:tblInd w:w="0" w:type="dxa"/>
        <w:tblCellMar>
          <w:top w:w="0" w:type="dxa"/>
          <w:left w:w="108" w:type="dxa"/>
          <w:bottom w:w="0" w:type="dxa"/>
          <w:right w:w="108" w:type="dxa"/>
        </w:tblCellMar>
        <w:tblLook w:firstRow="1" w:noVBand="1" w:lastRow="0" w:firstColumn="1" w:lastColumn="0" w:noHBand="0" w:val="04a0"/>
      </w:tblPr>
      <w:tblGrid>
        <w:gridCol w:w="561"/>
        <w:gridCol w:w="9072"/>
      </w:tblGrid>
      <w:tr>
        <w:trPr/>
        <w:tc>
          <w:tcPr>
            <w:tcW w:w="561" w:type="dxa"/>
            <w:tcBorders/>
            <w:shd w:fill="auto" w:val="clear"/>
          </w:tcPr>
          <w:p>
            <w:pPr>
              <w:pStyle w:val="S6"/>
              <w:spacing w:lineRule="auto" w:line="285" w:before="0" w:after="0"/>
              <w:ind w:hanging="0"/>
              <w:contextualSpacing/>
              <w:rPr>
                <w:rFonts w:ascii="Calibri" w:hAnsi="Calibri" w:eastAsia="Times New Roman" w:cs="Times New Roman"/>
                <w:sz w:val="20"/>
                <w:szCs w:val="20"/>
              </w:rPr>
            </w:pPr>
            <w:r>
              <w:rPr>
                <w:rFonts w:eastAsia="Times New Roman" w:cs="Times New Roman" w:ascii="Calibri" w:hAnsi="Calibri"/>
                <w:sz w:val="20"/>
                <w:szCs w:val="20"/>
              </w:rPr>
              <w:t xml:space="preserve">№ </w:t>
            </w:r>
            <w:r>
              <w:rPr>
                <w:rFonts w:eastAsia="Times New Roman" w:cs="Times New Roman" w:ascii="Calibri" w:hAnsi="Calibri"/>
                <w:sz w:val="20"/>
                <w:szCs w:val="20"/>
              </w:rPr>
              <w:t>п/п</w:t>
            </w:r>
          </w:p>
        </w:tc>
        <w:tc>
          <w:tcPr>
            <w:tcW w:w="9072" w:type="dxa"/>
            <w:tcBorders/>
            <w:shd w:fill="auto" w:val="clear"/>
          </w:tcPr>
          <w:p>
            <w:pPr>
              <w:pStyle w:val="S6"/>
              <w:spacing w:lineRule="auto" w:line="285" w:before="0" w:after="0"/>
              <w:ind w:hanging="0"/>
              <w:contextualSpacing/>
              <w:jc w:val="center"/>
              <w:rPr>
                <w:rFonts w:ascii="Calibri" w:hAnsi="Calibri" w:eastAsia="Times New Roman" w:cs="Times New Roman"/>
                <w:sz w:val="20"/>
                <w:szCs w:val="20"/>
              </w:rPr>
            </w:pPr>
            <w:r>
              <w:rPr>
                <w:rFonts w:eastAsia="Times New Roman" w:cs="Times New Roman" w:ascii="Calibri" w:hAnsi="Calibri"/>
                <w:sz w:val="20"/>
                <w:szCs w:val="20"/>
              </w:rPr>
              <w:t>Наименование учреждения</w:t>
            </w:r>
          </w:p>
        </w:tc>
      </w:tr>
      <w:tr>
        <w:trPr/>
        <w:tc>
          <w:tcPr>
            <w:tcW w:w="561" w:type="dxa"/>
            <w:tcBorders/>
            <w:shd w:fill="auto" w:val="clear"/>
          </w:tcPr>
          <w:p>
            <w:pPr>
              <w:pStyle w:val="S6"/>
              <w:spacing w:lineRule="auto" w:line="285" w:before="0" w:after="0"/>
              <w:ind w:hanging="0"/>
              <w:contextualSpacing/>
              <w:jc w:val="center"/>
              <w:rPr>
                <w:rFonts w:ascii="Calibri" w:hAnsi="Calibri" w:eastAsia="Times New Roman" w:cs="Times New Roman"/>
                <w:sz w:val="20"/>
                <w:szCs w:val="20"/>
              </w:rPr>
            </w:pPr>
            <w:r>
              <w:rPr>
                <w:rFonts w:eastAsia="Times New Roman" w:cs="Times New Roman" w:ascii="Calibri" w:hAnsi="Calibri"/>
                <w:sz w:val="20"/>
                <w:szCs w:val="20"/>
              </w:rPr>
              <w:t>1.</w:t>
            </w:r>
          </w:p>
        </w:tc>
        <w:tc>
          <w:tcPr>
            <w:tcW w:w="9072" w:type="dxa"/>
            <w:tcBorders/>
            <w:shd w:fill="auto" w:val="clear"/>
          </w:tcPr>
          <w:p>
            <w:pPr>
              <w:pStyle w:val="S6"/>
              <w:spacing w:lineRule="auto" w:line="285" w:before="0" w:after="0"/>
              <w:ind w:hanging="0"/>
              <w:contextualSpacing/>
              <w:jc w:val="center"/>
              <w:rPr>
                <w:rFonts w:ascii="Calibri" w:hAnsi="Calibri" w:eastAsia="Times New Roman" w:cs="Times New Roman"/>
                <w:sz w:val="20"/>
                <w:szCs w:val="20"/>
              </w:rPr>
            </w:pPr>
            <w:r>
              <w:rPr>
                <w:rFonts w:eastAsia="Times New Roman" w:cs="Times New Roman" w:ascii="Calibri" w:hAnsi="Calibri"/>
                <w:sz w:val="20"/>
                <w:szCs w:val="20"/>
              </w:rPr>
              <w:t>МОУ «Татарско-Тавлинская ООШ»</w:t>
            </w:r>
          </w:p>
        </w:tc>
      </w:tr>
    </w:tbl>
    <w:p>
      <w:pPr>
        <w:pStyle w:val="S6"/>
        <w:spacing w:lineRule="auto" w:line="285" w:before="0" w:after="0"/>
        <w:contextualSpacing/>
        <w:rPr>
          <w:b/>
          <w:b/>
          <w:i/>
          <w:i/>
        </w:rPr>
      </w:pPr>
      <w:r>
        <w:rPr>
          <w:b/>
          <w:i/>
        </w:rPr>
      </w:r>
    </w:p>
    <w:p>
      <w:pPr>
        <w:pStyle w:val="Normal"/>
        <w:spacing w:lineRule="auto" w:line="285" w:before="0" w:after="0"/>
        <w:ind w:firstLine="851"/>
        <w:contextualSpacing/>
        <w:rPr>
          <w:rFonts w:ascii="Times New Roman" w:hAnsi="Times New Roman" w:cs="Times New Roman"/>
          <w:b/>
          <w:b/>
          <w:i/>
          <w:i/>
          <w:iCs/>
          <w:sz w:val="24"/>
          <w:szCs w:val="24"/>
          <w:lang w:eastAsia="en-US"/>
        </w:rPr>
      </w:pPr>
      <w:r>
        <w:rPr>
          <w:rFonts w:cs="Times New Roman" w:ascii="Times New Roman" w:hAnsi="Times New Roman"/>
          <w:b/>
          <w:sz w:val="24"/>
          <w:szCs w:val="24"/>
          <w:lang w:eastAsia="en-US"/>
        </w:rPr>
        <w:t>Здравоохранение</w:t>
      </w:r>
    </w:p>
    <w:p>
      <w:pPr>
        <w:pStyle w:val="S6"/>
        <w:spacing w:lineRule="auto" w:line="285" w:before="0" w:after="0"/>
        <w:ind w:firstLine="851"/>
        <w:contextualSpacing/>
        <w:rPr>
          <w:highlight w:val="white"/>
        </w:rPr>
      </w:pPr>
      <w:r>
        <w:rPr/>
        <w:t xml:space="preserve">Ближайшее для сельских жителей медицинское подразделение, в которое они могут обратиться за медицинской помощью на территории Татарского-Тавлинского сельского поселения является </w:t>
      </w:r>
      <w:r>
        <w:rPr>
          <w:shd w:fill="FFFFFF" w:val="clear"/>
        </w:rPr>
        <w:t>фельдшерско-акушерский пункт (далее – ФАП).</w:t>
      </w:r>
    </w:p>
    <w:p>
      <w:pPr>
        <w:pStyle w:val="Normal"/>
        <w:spacing w:lineRule="auto" w:line="285" w:before="0" w:after="0"/>
        <w:ind w:firstLine="851"/>
        <w:contextualSpacing/>
        <w:jc w:val="both"/>
        <w:rPr>
          <w:rFonts w:ascii="Times New Roman" w:hAnsi="Times New Roman"/>
          <w:bCs/>
          <w:sz w:val="24"/>
          <w:szCs w:val="24"/>
        </w:rPr>
      </w:pPr>
      <w:r>
        <w:rPr>
          <w:rFonts w:ascii="Times New Roman" w:hAnsi="Times New Roman"/>
          <w:bCs/>
          <w:sz w:val="24"/>
          <w:szCs w:val="24"/>
        </w:rPr>
        <w:t>Татарско-Тавлинский ФАП – это структурное подразделение Государственного бюджетного учреждения здравоохранения Республики Мордовия «Республиканская клиническая больница №5».</w:t>
      </w:r>
    </w:p>
    <w:p>
      <w:pPr>
        <w:pStyle w:val="Normal"/>
        <w:spacing w:lineRule="auto" w:line="285" w:before="0" w:after="0"/>
        <w:ind w:firstLine="851"/>
        <w:contextualSpacing/>
        <w:jc w:val="both"/>
        <w:rPr>
          <w:rFonts w:ascii="Times New Roman" w:hAnsi="Times New Roman"/>
          <w:bCs/>
          <w:sz w:val="24"/>
          <w:szCs w:val="24"/>
        </w:rPr>
      </w:pPr>
      <w:r>
        <w:rPr>
          <w:rFonts w:ascii="Times New Roman" w:hAnsi="Times New Roman"/>
          <w:bCs/>
          <w:sz w:val="24"/>
          <w:szCs w:val="24"/>
        </w:rPr>
        <w:t>Обслуживание населения производится 1 медицинским работником.</w:t>
      </w:r>
    </w:p>
    <w:p>
      <w:pPr>
        <w:pStyle w:val="Normal"/>
        <w:suppressAutoHyphens w:val="true"/>
        <w:spacing w:before="0" w:after="0"/>
        <w:ind w:firstLine="851"/>
        <w:contextualSpacing/>
        <w:jc w:val="both"/>
        <w:rPr>
          <w:rFonts w:ascii="Times New Roman" w:hAnsi="Times New Roman"/>
          <w:b/>
          <w:b/>
          <w:bCs/>
          <w:i/>
          <w:i/>
          <w:sz w:val="24"/>
          <w:szCs w:val="24"/>
        </w:rPr>
      </w:pPr>
      <w:r>
        <w:rPr>
          <w:rFonts w:ascii="Times New Roman" w:hAnsi="Times New Roman"/>
          <w:b/>
          <w:bCs/>
          <w:i/>
          <w:sz w:val="24"/>
          <w:szCs w:val="24"/>
        </w:rPr>
      </w:r>
    </w:p>
    <w:p>
      <w:pPr>
        <w:pStyle w:val="Normal"/>
        <w:suppressAutoHyphens w:val="true"/>
        <w:spacing w:before="0" w:after="0"/>
        <w:ind w:firstLine="851"/>
        <w:contextualSpacing/>
        <w:jc w:val="both"/>
        <w:rPr>
          <w:rFonts w:ascii="Times New Roman" w:hAnsi="Times New Roman" w:cs="Times New Roman"/>
          <w:b/>
          <w:b/>
          <w:bCs/>
          <w:sz w:val="24"/>
          <w:szCs w:val="28"/>
          <w:lang w:eastAsia="en-US"/>
        </w:rPr>
      </w:pPr>
      <w:r>
        <w:rPr>
          <w:rFonts w:cs="Times New Roman" w:ascii="Times New Roman" w:hAnsi="Times New Roman"/>
          <w:b/>
          <w:bCs/>
          <w:sz w:val="24"/>
          <w:szCs w:val="28"/>
          <w:lang w:eastAsia="en-US"/>
        </w:rPr>
        <w:t>Спорт</w:t>
      </w:r>
    </w:p>
    <w:p>
      <w:pPr>
        <w:pStyle w:val="Normal"/>
        <w:suppressAutoHyphens w:val="true"/>
        <w:spacing w:before="0" w:after="0"/>
        <w:ind w:firstLine="851"/>
        <w:contextualSpacing/>
        <w:jc w:val="both"/>
        <w:rPr>
          <w:rFonts w:ascii="Times New Roman" w:hAnsi="Times New Roman" w:cs="Times New Roman"/>
          <w:b/>
          <w:b/>
          <w:bCs/>
          <w:sz w:val="24"/>
          <w:szCs w:val="28"/>
          <w:lang w:eastAsia="en-US"/>
        </w:rPr>
      </w:pPr>
      <w:r>
        <w:rPr>
          <w:rFonts w:cs="Times New Roman" w:ascii="Times New Roman" w:hAnsi="Times New Roman"/>
          <w:b/>
          <w:bCs/>
          <w:sz w:val="24"/>
          <w:szCs w:val="28"/>
          <w:lang w:eastAsia="en-US"/>
        </w:rPr>
      </w:r>
    </w:p>
    <w:p>
      <w:pPr>
        <w:pStyle w:val="Normal"/>
        <w:shd w:val="clear" w:color="auto" w:fill="FFFFFF"/>
        <w:tabs>
          <w:tab w:val="clear" w:pos="709"/>
          <w:tab w:val="left" w:pos="142" w:leader="none"/>
        </w:tabs>
        <w:spacing w:before="0" w:after="0"/>
        <w:ind w:firstLine="851"/>
        <w:contextualSpacing/>
        <w:jc w:val="both"/>
        <w:rPr>
          <w:rFonts w:ascii="Times New Roman" w:hAnsi="Times New Roman" w:eastAsia="Times New Roman" w:cs="Times New Roman"/>
          <w:i/>
          <w:i/>
          <w:sz w:val="24"/>
          <w:szCs w:val="24"/>
        </w:rPr>
      </w:pPr>
      <w:r>
        <w:rPr>
          <w:rFonts w:eastAsia="Times New Roman" w:ascii="Times New Roman" w:hAnsi="Times New Roman"/>
          <w:i/>
          <w:sz w:val="24"/>
          <w:szCs w:val="24"/>
        </w:rPr>
        <w:t xml:space="preserve">Таблица 2.4-2 Предельные значения в области физической культуры и спорта </w:t>
      </w:r>
      <w:r>
        <w:rPr>
          <w:rFonts w:eastAsia="Times New Roman" w:cs="Times New Roman" w:ascii="Times New Roman" w:hAnsi="Times New Roman"/>
          <w:i/>
          <w:sz w:val="24"/>
          <w:szCs w:val="24"/>
        </w:rPr>
        <w:t>(согласно нормативов градостроительного проектирования)</w:t>
      </w:r>
    </w:p>
    <w:tbl>
      <w:tblPr>
        <w:tblW w:w="9615" w:type="dxa"/>
        <w:jc w:val="left"/>
        <w:tblInd w:w="149" w:type="dxa"/>
        <w:tblCellMar>
          <w:top w:w="0" w:type="dxa"/>
          <w:left w:w="149" w:type="dxa"/>
          <w:bottom w:w="0" w:type="dxa"/>
          <w:right w:w="149" w:type="dxa"/>
        </w:tblCellMar>
        <w:tblLook w:firstRow="1" w:noVBand="1" w:lastRow="0" w:firstColumn="1" w:lastColumn="0" w:noHBand="0" w:val="04a0"/>
      </w:tblPr>
      <w:tblGrid>
        <w:gridCol w:w="693"/>
        <w:gridCol w:w="2409"/>
        <w:gridCol w:w="2268"/>
        <w:gridCol w:w="1275"/>
        <w:gridCol w:w="1985"/>
        <w:gridCol w:w="984"/>
      </w:tblGrid>
      <w:tr>
        <w:trPr>
          <w:trHeight w:val="881" w:hRule="atLeast"/>
        </w:trPr>
        <w:tc>
          <w:tcPr>
            <w:tcW w:w="693"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 xml:space="preserve">№ </w:t>
            </w:r>
            <w:r>
              <w:rPr>
                <w:rFonts w:eastAsia="Times New Roman" w:cs="Times New Roman" w:ascii="Times New Roman" w:hAnsi="Times New Roman"/>
                <w:b/>
                <w:sz w:val="21"/>
                <w:szCs w:val="21"/>
              </w:rPr>
              <w:t>п/п</w:t>
            </w:r>
          </w:p>
        </w:tc>
        <w:tc>
          <w:tcPr>
            <w:tcW w:w="2409"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Наименование объекта</w:t>
            </w:r>
          </w:p>
        </w:tc>
        <w:tc>
          <w:tcPr>
            <w:tcW w:w="3543" w:type="dxa"/>
            <w:gridSpan w:val="2"/>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Показатель минимально допустимого уровня обеспеченности</w:t>
            </w:r>
          </w:p>
        </w:tc>
        <w:tc>
          <w:tcPr>
            <w:tcW w:w="2969" w:type="dxa"/>
            <w:gridSpan w:val="2"/>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Показатель максимально допустимого уровня территориальной доступности</w:t>
            </w:r>
          </w:p>
        </w:tc>
      </w:tr>
      <w:tr>
        <w:trPr>
          <w:trHeight w:val="696" w:hRule="atLeast"/>
        </w:trPr>
        <w:tc>
          <w:tcPr>
            <w:tcW w:w="693"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rPr>
                <w:rFonts w:ascii="Times New Roman" w:hAnsi="Times New Roman" w:eastAsia="Times New Roman" w:cs="Times New Roman"/>
                <w:sz w:val="21"/>
                <w:szCs w:val="21"/>
              </w:rPr>
            </w:pPr>
            <w:r>
              <w:rPr>
                <w:rFonts w:eastAsia="Times New Roman" w:cs="Times New Roman" w:ascii="Times New Roman" w:hAnsi="Times New Roman"/>
                <w:sz w:val="21"/>
                <w:szCs w:val="21"/>
              </w:rPr>
            </w:r>
          </w:p>
        </w:tc>
        <w:tc>
          <w:tcPr>
            <w:tcW w:w="2409"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rPr>
                <w:rFonts w:ascii="Times New Roman" w:hAnsi="Times New Roman" w:eastAsia="Times New Roman" w:cs="Times New Roman"/>
                <w:sz w:val="21"/>
                <w:szCs w:val="21"/>
              </w:rPr>
            </w:pPr>
            <w:r>
              <w:rPr>
                <w:rFonts w:eastAsia="Times New Roman" w:cs="Times New Roman" w:ascii="Times New Roman" w:hAnsi="Times New Roman"/>
                <w:sz w:val="21"/>
                <w:szCs w:val="21"/>
              </w:rPr>
            </w:r>
          </w:p>
        </w:tc>
        <w:tc>
          <w:tcPr>
            <w:tcW w:w="2268"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единица измерения</w:t>
            </w:r>
          </w:p>
        </w:tc>
        <w:tc>
          <w:tcPr>
            <w:tcW w:w="127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величина</w:t>
            </w:r>
          </w:p>
        </w:tc>
        <w:tc>
          <w:tcPr>
            <w:tcW w:w="198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единица измерения</w:t>
            </w:r>
          </w:p>
        </w:tc>
        <w:tc>
          <w:tcPr>
            <w:tcW w:w="984"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sz w:val="21"/>
                <w:szCs w:val="21"/>
              </w:rPr>
            </w:pPr>
            <w:r>
              <w:rPr>
                <w:rFonts w:eastAsia="Times New Roman" w:cs="Times New Roman" w:ascii="Times New Roman" w:hAnsi="Times New Roman"/>
                <w:b/>
                <w:sz w:val="21"/>
                <w:szCs w:val="21"/>
              </w:rPr>
              <w:t>величина</w:t>
            </w:r>
          </w:p>
        </w:tc>
      </w:tr>
      <w:tr>
        <w:trPr>
          <w:trHeight w:val="408" w:hRule="atLeast"/>
        </w:trPr>
        <w:tc>
          <w:tcPr>
            <w:tcW w:w="693"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rPr>
                <w:rFonts w:ascii="Times New Roman" w:hAnsi="Times New Roman" w:eastAsia="Times New Roman" w:cs="Times New Roman"/>
                <w:sz w:val="21"/>
                <w:szCs w:val="21"/>
              </w:rPr>
            </w:pPr>
            <w:r>
              <w:rPr>
                <w:rFonts w:eastAsia="Times New Roman" w:cs="Times New Roman" w:ascii="Times New Roman" w:hAnsi="Times New Roman"/>
                <w:sz w:val="21"/>
                <w:szCs w:val="21"/>
              </w:rPr>
            </w:r>
          </w:p>
        </w:tc>
        <w:tc>
          <w:tcPr>
            <w:tcW w:w="8921" w:type="dxa"/>
            <w:gridSpan w:val="5"/>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b/>
                <w:b/>
                <w:i/>
                <w:i/>
                <w:sz w:val="21"/>
                <w:szCs w:val="21"/>
              </w:rPr>
            </w:pPr>
            <w:r>
              <w:rPr>
                <w:rFonts w:eastAsia="Times New Roman" w:cs="Times New Roman" w:ascii="Times New Roman" w:hAnsi="Times New Roman"/>
                <w:b/>
                <w:i/>
                <w:sz w:val="21"/>
                <w:szCs w:val="21"/>
              </w:rPr>
              <w:t>Расчетные показатели по городскому округу</w:t>
            </w:r>
          </w:p>
        </w:tc>
      </w:tr>
      <w:tr>
        <w:trPr/>
        <w:tc>
          <w:tcPr>
            <w:tcW w:w="693"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1.</w:t>
            </w:r>
          </w:p>
        </w:tc>
        <w:tc>
          <w:tcPr>
            <w:tcW w:w="2409"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Помещения для физкультурно-оздоровительных занятий (физкультурные залы)</w:t>
            </w:r>
          </w:p>
        </w:tc>
        <w:tc>
          <w:tcPr>
            <w:tcW w:w="2268"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тыс. м(2) на 50 человек</w:t>
            </w:r>
          </w:p>
        </w:tc>
        <w:tc>
          <w:tcPr>
            <w:tcW w:w="127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0,5</w:t>
            </w:r>
          </w:p>
        </w:tc>
        <w:tc>
          <w:tcPr>
            <w:tcW w:w="198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транспортная доступность в пределах населенного пункта, в котором расположен объект, от крайних жилых массивов, км</w:t>
            </w:r>
          </w:p>
        </w:tc>
        <w:tc>
          <w:tcPr>
            <w:tcW w:w="984"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16"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6,5</w:t>
            </w:r>
          </w:p>
        </w:tc>
      </w:tr>
      <w:tr>
        <w:trPr/>
        <w:tc>
          <w:tcPr>
            <w:tcW w:w="693"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2.</w:t>
            </w:r>
          </w:p>
        </w:tc>
        <w:tc>
          <w:tcPr>
            <w:tcW w:w="2409"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Плоскостные спортивные сооружения</w:t>
            </w:r>
          </w:p>
        </w:tc>
        <w:tc>
          <w:tcPr>
            <w:tcW w:w="2268"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тыс. м(2) на 10000 человек</w:t>
            </w:r>
          </w:p>
        </w:tc>
        <w:tc>
          <w:tcPr>
            <w:tcW w:w="127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19,5</w:t>
            </w:r>
          </w:p>
        </w:tc>
        <w:tc>
          <w:tcPr>
            <w:tcW w:w="1985"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транспортная доступность в пределах населенного пункта, в котором расположен объект, от крайних жилых массивов, км</w:t>
            </w:r>
          </w:p>
        </w:tc>
        <w:tc>
          <w:tcPr>
            <w:tcW w:w="984"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1" w:before="0" w:after="0"/>
              <w:contextualSpacing/>
              <w:jc w:val="center"/>
              <w:textAlignment w:val="baseline"/>
              <w:rPr>
                <w:rFonts w:ascii="Times New Roman" w:hAnsi="Times New Roman" w:eastAsia="Times New Roman" w:cs="Times New Roman"/>
                <w:sz w:val="21"/>
                <w:szCs w:val="21"/>
              </w:rPr>
            </w:pPr>
            <w:r>
              <w:rPr>
                <w:rFonts w:eastAsia="Times New Roman" w:cs="Times New Roman" w:ascii="Times New Roman" w:hAnsi="Times New Roman"/>
                <w:sz w:val="21"/>
                <w:szCs w:val="21"/>
              </w:rPr>
              <w:t>6</w:t>
            </w:r>
          </w:p>
        </w:tc>
      </w:tr>
    </w:tbl>
    <w:p>
      <w:pPr>
        <w:pStyle w:val="Normal"/>
        <w:suppressAutoHyphens w:val="true"/>
        <w:spacing w:lineRule="auto" w:line="271" w:before="0" w:after="0"/>
        <w:ind w:firstLine="709"/>
        <w:contextualSpacing/>
        <w:jc w:val="both"/>
        <w:rPr>
          <w:rFonts w:ascii="Times New Roman" w:hAnsi="Times New Roman" w:cs="Times New Roman"/>
          <w:sz w:val="24"/>
        </w:rPr>
      </w:pPr>
      <w:r>
        <w:rPr>
          <w:rFonts w:cs="Times New Roman" w:ascii="Times New Roman" w:hAnsi="Times New Roman"/>
          <w:sz w:val="24"/>
        </w:rPr>
        <w:t>Спортивным объектом в Татарско-Тавлинском сельском поселение выступает спортивный зал, размещенный в школе.</w:t>
      </w:r>
    </w:p>
    <w:p>
      <w:pPr>
        <w:pStyle w:val="Normal"/>
        <w:suppressAutoHyphens w:val="true"/>
        <w:spacing w:lineRule="auto" w:line="271" w:before="0" w:after="0"/>
        <w:ind w:firstLine="709"/>
        <w:contextualSpacing/>
        <w:jc w:val="both"/>
        <w:rPr>
          <w:rFonts w:ascii="Times New Roman" w:hAnsi="Times New Roman" w:cs="Times New Roman"/>
          <w:sz w:val="24"/>
        </w:rPr>
      </w:pPr>
      <w:r>
        <w:rPr>
          <w:rFonts w:cs="Times New Roman" w:ascii="Times New Roman" w:hAnsi="Times New Roman"/>
          <w:sz w:val="24"/>
        </w:rPr>
      </w:r>
    </w:p>
    <w:p>
      <w:pPr>
        <w:pStyle w:val="Normal"/>
        <w:suppressAutoHyphens w:val="true"/>
        <w:spacing w:lineRule="auto" w:line="271" w:before="0" w:after="0"/>
        <w:ind w:firstLine="851"/>
        <w:contextualSpacing/>
        <w:jc w:val="both"/>
        <w:rPr>
          <w:rFonts w:ascii="Times New Roman" w:hAnsi="Times New Roman" w:cs="Times New Roman"/>
          <w:b/>
          <w:b/>
          <w:sz w:val="24"/>
        </w:rPr>
      </w:pPr>
      <w:r>
        <w:rPr>
          <w:rFonts w:cs="Times New Roman" w:ascii="Times New Roman" w:hAnsi="Times New Roman"/>
          <w:b/>
          <w:sz w:val="24"/>
        </w:rPr>
        <w:t xml:space="preserve">Учреждения культуры и искусства. </w:t>
      </w:r>
    </w:p>
    <w:p>
      <w:pPr>
        <w:pStyle w:val="NoSpacing"/>
        <w:suppressAutoHyphens w:val="true"/>
        <w:spacing w:lineRule="auto" w:line="271" w:before="0" w:after="0"/>
        <w:ind w:firstLine="851"/>
        <w:contextualSpacing/>
        <w:jc w:val="both"/>
        <w:rPr>
          <w:rFonts w:ascii="Times New Roman" w:hAnsi="Times New Roman" w:cs="Times New Roman"/>
          <w:sz w:val="24"/>
          <w:szCs w:val="24"/>
          <w:lang w:eastAsia="en-US"/>
        </w:rPr>
      </w:pPr>
      <w:r>
        <w:rPr>
          <w:rFonts w:cs="Times New Roman" w:ascii="Times New Roman" w:hAnsi="Times New Roman"/>
          <w:sz w:val="24"/>
          <w:szCs w:val="24"/>
          <w:lang w:eastAsia="en-US"/>
        </w:rPr>
        <w:t>На территории Татарско-Тавлинского сельского поселения расположена одна Татарско-Тавлинская сельская библиотека – структурное подразделение №15.</w:t>
      </w:r>
    </w:p>
    <w:p>
      <w:pPr>
        <w:pStyle w:val="NoSpacing"/>
        <w:suppressAutoHyphens w:val="true"/>
        <w:spacing w:lineRule="auto" w:line="271" w:before="0" w:after="0"/>
        <w:ind w:firstLine="851"/>
        <w:contextualSpacing/>
        <w:jc w:val="both"/>
        <w:rPr>
          <w:rFonts w:ascii="Times New Roman" w:hAnsi="Times New Roman" w:cs="Times New Roman"/>
          <w:sz w:val="24"/>
          <w:szCs w:val="24"/>
          <w:lang w:eastAsia="en-US"/>
        </w:rPr>
      </w:pPr>
      <w:r>
        <w:rPr>
          <w:rFonts w:cs="Times New Roman" w:ascii="Times New Roman" w:hAnsi="Times New Roman"/>
          <w:sz w:val="24"/>
          <w:szCs w:val="24"/>
          <w:lang w:eastAsia="en-US"/>
        </w:rPr>
        <w:t>Также на территории сельского поселения расположен культурно-досуговый                          центр – филиал № 15 «Татарско-Тавоинский сельский клуб МАУ КСЦ «Алмаз».</w:t>
      </w:r>
    </w:p>
    <w:p>
      <w:pPr>
        <w:pStyle w:val="Normal"/>
        <w:tabs>
          <w:tab w:val="clear" w:pos="709"/>
          <w:tab w:val="left" w:pos="993" w:leader="none"/>
        </w:tabs>
        <w:spacing w:lineRule="auto" w:line="271" w:before="0" w:after="0"/>
        <w:ind w:firstLine="851"/>
        <w:contextualSpacing/>
        <w:jc w:val="both"/>
        <w:rPr>
          <w:rFonts w:ascii="Times New Roman" w:hAnsi="Times New Roman"/>
          <w:b/>
          <w:b/>
          <w:sz w:val="24"/>
          <w:szCs w:val="24"/>
        </w:rPr>
      </w:pPr>
      <w:r>
        <w:rPr>
          <w:rFonts w:ascii="Times New Roman" w:hAnsi="Times New Roman"/>
          <w:b/>
          <w:sz w:val="24"/>
          <w:szCs w:val="24"/>
        </w:rPr>
      </w:r>
    </w:p>
    <w:p>
      <w:pPr>
        <w:pStyle w:val="Normal"/>
        <w:tabs>
          <w:tab w:val="clear" w:pos="709"/>
          <w:tab w:val="left" w:pos="993" w:leader="none"/>
        </w:tabs>
        <w:spacing w:lineRule="auto" w:line="271" w:before="0" w:after="0"/>
        <w:ind w:firstLine="851"/>
        <w:contextualSpacing/>
        <w:jc w:val="both"/>
        <w:rPr>
          <w:rFonts w:ascii="Times New Roman" w:hAnsi="Times New Roman"/>
          <w:b/>
          <w:b/>
          <w:sz w:val="24"/>
          <w:szCs w:val="24"/>
        </w:rPr>
      </w:pPr>
      <w:r>
        <w:rPr>
          <w:rFonts w:ascii="Times New Roman" w:hAnsi="Times New Roman"/>
          <w:b/>
          <w:sz w:val="24"/>
          <w:szCs w:val="24"/>
        </w:rPr>
        <w:t>Обеспечение территории местами захоронения</w:t>
      </w:r>
    </w:p>
    <w:p>
      <w:pPr>
        <w:pStyle w:val="Normal"/>
        <w:spacing w:lineRule="auto" w:line="271" w:before="0" w:after="0"/>
        <w:ind w:firstLine="851"/>
        <w:contextualSpacing/>
        <w:jc w:val="both"/>
        <w:rPr>
          <w:rFonts w:ascii="Times New Roman" w:hAnsi="Times New Roman"/>
          <w:sz w:val="24"/>
          <w:szCs w:val="24"/>
          <w:lang w:eastAsia="ar-SA"/>
        </w:rPr>
      </w:pPr>
      <w:r>
        <w:rPr>
          <w:rFonts w:ascii="Times New Roman" w:hAnsi="Times New Roman"/>
          <w:sz w:val="24"/>
          <w:szCs w:val="24"/>
          <w:lang w:eastAsia="ar-SA"/>
        </w:rPr>
        <w:t xml:space="preserve">На территории Татарско-Тавлинского сельского поселения расположено одно кладбище. </w:t>
      </w:r>
    </w:p>
    <w:p>
      <w:pPr>
        <w:pStyle w:val="Normal"/>
        <w:spacing w:lineRule="auto" w:line="271" w:before="0" w:after="0"/>
        <w:ind w:firstLine="851"/>
        <w:contextualSpacing/>
        <w:jc w:val="both"/>
        <w:rPr>
          <w:rFonts w:ascii="Times New Roman" w:hAnsi="Times New Roman"/>
          <w:sz w:val="24"/>
          <w:szCs w:val="24"/>
          <w:lang w:eastAsia="ar-SA"/>
        </w:rPr>
      </w:pPr>
      <w:r>
        <w:rPr>
          <w:rFonts w:ascii="Times New Roman" w:hAnsi="Times New Roman"/>
          <w:sz w:val="24"/>
          <w:szCs w:val="24"/>
          <w:lang w:eastAsia="ar-SA"/>
        </w:rPr>
      </w:r>
    </w:p>
    <w:p>
      <w:pPr>
        <w:pStyle w:val="Normal"/>
        <w:shd w:val="clear" w:color="auto" w:fill="FFFFFF"/>
        <w:tabs>
          <w:tab w:val="clear" w:pos="709"/>
          <w:tab w:val="left" w:pos="142" w:leader="none"/>
        </w:tabs>
        <w:spacing w:lineRule="auto" w:line="271" w:before="0" w:after="0"/>
        <w:ind w:firstLine="851"/>
        <w:contextualSpacing/>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Таблица 2.4-3 Сведения о местах захоронения</w:t>
      </w:r>
    </w:p>
    <w:tbl>
      <w:tblPr>
        <w:tblStyle w:val="af5"/>
        <w:tblW w:w="9770" w:type="dxa"/>
        <w:jc w:val="center"/>
        <w:tblInd w:w="0" w:type="dxa"/>
        <w:tblCellMar>
          <w:top w:w="0" w:type="dxa"/>
          <w:left w:w="108" w:type="dxa"/>
          <w:bottom w:w="0" w:type="dxa"/>
          <w:right w:w="108" w:type="dxa"/>
        </w:tblCellMar>
        <w:tblLook w:firstRow="1" w:noVBand="1" w:lastRow="0" w:firstColumn="1" w:lastColumn="0" w:noHBand="0" w:val="04a0"/>
      </w:tblPr>
      <w:tblGrid>
        <w:gridCol w:w="542"/>
        <w:gridCol w:w="2286"/>
        <w:gridCol w:w="3118"/>
        <w:gridCol w:w="2125"/>
        <w:gridCol w:w="1699"/>
      </w:tblGrid>
      <w:tr>
        <w:trPr>
          <w:trHeight w:val="260" w:hRule="atLeast"/>
        </w:trPr>
        <w:tc>
          <w:tcPr>
            <w:tcW w:w="542"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 xml:space="preserve">№ </w:t>
            </w:r>
            <w:r>
              <w:rPr>
                <w:rFonts w:eastAsia="Times New Roman" w:cs="Times New Roman" w:ascii="Times New Roman" w:hAnsi="Times New Roman"/>
                <w:sz w:val="22"/>
                <w:szCs w:val="22"/>
              </w:rPr>
              <w:t>п.п</w:t>
            </w:r>
          </w:p>
        </w:tc>
        <w:tc>
          <w:tcPr>
            <w:tcW w:w="2286"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Кадастровый номер</w:t>
            </w:r>
          </w:p>
        </w:tc>
        <w:tc>
          <w:tcPr>
            <w:tcW w:w="3118"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Категория земель</w:t>
            </w:r>
          </w:p>
        </w:tc>
        <w:tc>
          <w:tcPr>
            <w:tcW w:w="2125"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Вид разрешенного использования</w:t>
            </w:r>
          </w:p>
        </w:tc>
        <w:tc>
          <w:tcPr>
            <w:tcW w:w="1699"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Площадь</w:t>
            </w:r>
          </w:p>
        </w:tc>
      </w:tr>
      <w:tr>
        <w:trPr>
          <w:trHeight w:val="266" w:hRule="atLeast"/>
        </w:trPr>
        <w:tc>
          <w:tcPr>
            <w:tcW w:w="542"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1</w:t>
            </w:r>
          </w:p>
        </w:tc>
        <w:tc>
          <w:tcPr>
            <w:tcW w:w="2286"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13:15:0103001:181</w:t>
            </w:r>
          </w:p>
        </w:tc>
        <w:tc>
          <w:tcPr>
            <w:tcW w:w="3118"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25"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Ритуальная деятельность</w:t>
            </w:r>
          </w:p>
        </w:tc>
        <w:tc>
          <w:tcPr>
            <w:tcW w:w="1699" w:type="dxa"/>
            <w:tcBorders/>
            <w:shd w:fill="auto" w:val="clear"/>
          </w:tcPr>
          <w:p>
            <w:pPr>
              <w:pStyle w:val="Normal"/>
              <w:spacing w:lineRule="auto" w:line="208" w:before="0" w:after="200"/>
              <w:contextualSpacing/>
              <w:jc w:val="center"/>
              <w:rPr>
                <w:rFonts w:ascii="Times New Roman" w:hAnsi="Times New Roman"/>
                <w:sz w:val="22"/>
                <w:szCs w:val="22"/>
              </w:rPr>
            </w:pPr>
            <w:r>
              <w:rPr>
                <w:rFonts w:eastAsia="Times New Roman" w:cs="Times New Roman" w:ascii="Times New Roman" w:hAnsi="Times New Roman"/>
                <w:sz w:val="22"/>
                <w:szCs w:val="22"/>
              </w:rPr>
              <w:t>55 090 кв. м</w:t>
            </w:r>
          </w:p>
        </w:tc>
      </w:tr>
    </w:tbl>
    <w:p>
      <w:pPr>
        <w:pStyle w:val="Normal"/>
        <w:spacing w:lineRule="auto" w:line="271" w:before="0" w:after="0"/>
        <w:ind w:firstLine="851"/>
        <w:contextualSpacing/>
        <w:jc w:val="center"/>
        <w:rPr>
          <w:rFonts w:ascii="Times New Roman" w:hAnsi="Times New Roman"/>
          <w:sz w:val="24"/>
          <w:szCs w:val="24"/>
        </w:rPr>
      </w:pPr>
      <w:r>
        <w:rPr>
          <w:rFonts w:ascii="Times New Roman" w:hAnsi="Times New Roman"/>
          <w:sz w:val="24"/>
          <w:szCs w:val="24"/>
        </w:rPr>
      </w:r>
    </w:p>
    <w:p>
      <w:pPr>
        <w:pStyle w:val="Normal"/>
        <w:widowControl w:val="false"/>
        <w:spacing w:lineRule="auto" w:line="280" w:before="0" w:after="0"/>
        <w:ind w:firstLine="851"/>
        <w:contextualSpacing/>
        <w:jc w:val="both"/>
        <w:rPr>
          <w:rFonts w:ascii="Times New Roman" w:hAnsi="Times New Roman"/>
          <w:sz w:val="24"/>
          <w:szCs w:val="24"/>
        </w:rPr>
      </w:pPr>
      <w:r>
        <w:rPr>
          <w:rFonts w:ascii="Times New Roman" w:hAnsi="Times New Roman"/>
          <w:sz w:val="24"/>
          <w:szCs w:val="24"/>
        </w:rPr>
        <w:t xml:space="preserve">Содержанием кладбищ занимается администрация сельского поселения, очистка кладбищ от бытовых отходов и мусора производится силами населения и общественных работников. </w:t>
      </w:r>
    </w:p>
    <w:p>
      <w:pPr>
        <w:pStyle w:val="Normal"/>
        <w:spacing w:lineRule="auto" w:line="280"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r>
    </w:p>
    <w:p>
      <w:pPr>
        <w:pStyle w:val="Normal"/>
        <w:spacing w:lineRule="auto" w:line="280"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2.5 Транспортная инфраструктура</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транспортную инфраструктуру Татарско-Тавлинского сельского поселения входят автомобильные дороги, соединяющие сельское поселение с соседними регионами и с соседними районами.</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Расстояние от сельского поселения до районного центра – села Лямбирь составляет 24 км. и 18 км. до железнодорожной станции Саранск.</w:t>
      </w:r>
    </w:p>
    <w:p>
      <w:pPr>
        <w:pStyle w:val="Normal"/>
        <w:spacing w:lineRule="auto" w:line="280" w:before="0" w:after="0"/>
        <w:ind w:firstLine="851"/>
        <w:contextualSpacing/>
        <w:jc w:val="both"/>
        <w:rPr>
          <w:rFonts w:ascii="Times New Roman" w:hAnsi="Times New Roman" w:cs="Times New Roman"/>
          <w:sz w:val="24"/>
          <w:szCs w:val="24"/>
          <w:lang w:eastAsia="en-US"/>
        </w:rPr>
      </w:pPr>
      <w:r>
        <w:rPr>
          <w:rFonts w:cs="Times New Roman" w:ascii="Times New Roman" w:hAnsi="Times New Roman"/>
          <w:sz w:val="24"/>
          <w:szCs w:val="24"/>
        </w:rPr>
        <w:t xml:space="preserve">На </w:t>
      </w:r>
      <w:r>
        <w:rPr>
          <w:rFonts w:cs="Times New Roman" w:ascii="Times New Roman" w:hAnsi="Times New Roman"/>
          <w:sz w:val="24"/>
          <w:szCs w:val="24"/>
          <w:lang w:eastAsia="en-US"/>
        </w:rPr>
        <w:t xml:space="preserve">территории сельского поселения отсутствует железнодорожная сеть. Воздушное сообщение осуществляется через аэропорт г. Саранск. </w:t>
      </w:r>
      <w:bookmarkStart w:id="3" w:name="_Toc221507222"/>
      <w:bookmarkEnd w:id="3"/>
    </w:p>
    <w:p>
      <w:pPr>
        <w:pStyle w:val="BodyTextIndent2"/>
        <w:spacing w:lineRule="auto" w:line="268" w:before="0" w:after="0"/>
        <w:ind w:left="0" w:firstLine="851"/>
        <w:contextualSpacing/>
        <w:jc w:val="both"/>
        <w:rPr>
          <w:rFonts w:ascii="Times New Roman" w:hAnsi="Times New Roman" w:cs="Times New Roman"/>
          <w:i/>
          <w:i/>
          <w:sz w:val="24"/>
          <w:szCs w:val="24"/>
        </w:rPr>
      </w:pPr>
      <w:r>
        <w:rPr>
          <w:rFonts w:cs="Times New Roman" w:ascii="Times New Roman" w:hAnsi="Times New Roman"/>
          <w:i/>
          <w:sz w:val="24"/>
          <w:szCs w:val="24"/>
        </w:rPr>
      </w:r>
    </w:p>
    <w:p>
      <w:pPr>
        <w:pStyle w:val="BodyTextIndent2"/>
        <w:spacing w:lineRule="auto" w:line="285" w:before="0" w:after="0"/>
        <w:ind w:left="0" w:firstLine="851"/>
        <w:contextualSpacing/>
        <w:jc w:val="both"/>
        <w:rPr>
          <w:rFonts w:ascii="Times New Roman" w:hAnsi="Times New Roman" w:cs="Times New Roman"/>
          <w:i/>
          <w:i/>
          <w:sz w:val="24"/>
          <w:szCs w:val="24"/>
        </w:rPr>
      </w:pPr>
      <w:r>
        <w:rPr>
          <w:rFonts w:cs="Times New Roman" w:ascii="Times New Roman" w:hAnsi="Times New Roman"/>
          <w:i/>
          <w:sz w:val="24"/>
          <w:szCs w:val="24"/>
        </w:rPr>
        <w:t>Таблица 2.5-1 Сведения о транспортной инфраструктуре Татарско-Тавлинского сельского поселения (Согласно сведениям системы контроля за формированием и использованием средств дорожных фондов)</w:t>
      </w:r>
    </w:p>
    <w:tbl>
      <w:tblPr>
        <w:tblW w:w="9889" w:type="dxa"/>
        <w:jc w:val="left"/>
        <w:tblInd w:w="0" w:type="dxa"/>
        <w:tblCellMar>
          <w:top w:w="0" w:type="dxa"/>
          <w:left w:w="108" w:type="dxa"/>
          <w:bottom w:w="0" w:type="dxa"/>
          <w:right w:w="108" w:type="dxa"/>
        </w:tblCellMar>
        <w:tblLook w:firstRow="1" w:noVBand="1" w:lastRow="0" w:firstColumn="1" w:lastColumn="0" w:noHBand="0" w:val="04a0"/>
      </w:tblPr>
      <w:tblGrid>
        <w:gridCol w:w="534"/>
        <w:gridCol w:w="2295"/>
        <w:gridCol w:w="1842"/>
        <w:gridCol w:w="1985"/>
        <w:gridCol w:w="2408"/>
        <w:gridCol w:w="824"/>
      </w:tblGrid>
      <w:tr>
        <w:trPr>
          <w:trHeight w:val="533" w:hRule="atLeast"/>
        </w:trPr>
        <w:tc>
          <w:tcPr>
            <w:tcW w:w="534"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contextualSpacing/>
              <w:jc w:val="center"/>
              <w:rPr>
                <w:rFonts w:ascii="Times New Roman" w:hAnsi="Times New Roman" w:cs="Times New Roman"/>
                <w:b/>
                <w:b/>
              </w:rPr>
            </w:pPr>
            <w:r>
              <w:rPr>
                <w:rFonts w:cs="Times New Roman" w:ascii="Times New Roman" w:hAnsi="Times New Roman"/>
                <w:b/>
              </w:rPr>
              <w:t xml:space="preserve">№ </w:t>
            </w:r>
            <w:r>
              <w:rPr>
                <w:rFonts w:cs="Times New Roman" w:ascii="Times New Roman" w:hAnsi="Times New Roman"/>
                <w:b/>
              </w:rPr>
              <w:t>п/п</w:t>
            </w:r>
          </w:p>
        </w:tc>
        <w:tc>
          <w:tcPr>
            <w:tcW w:w="2295"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contextualSpacing/>
              <w:jc w:val="center"/>
              <w:rPr>
                <w:rFonts w:ascii="Times New Roman" w:hAnsi="Times New Roman" w:cs="Times New Roman"/>
                <w:b/>
                <w:b/>
              </w:rPr>
            </w:pPr>
            <w:r>
              <w:rPr>
                <w:rFonts w:cs="Times New Roman" w:ascii="Times New Roman" w:hAnsi="Times New Roman"/>
                <w:b/>
              </w:rPr>
              <w:t>Идентификационный номер</w:t>
            </w:r>
          </w:p>
        </w:tc>
        <w:tc>
          <w:tcPr>
            <w:tcW w:w="1842"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ind w:left="-83" w:right="-108" w:hanging="0"/>
              <w:contextualSpacing/>
              <w:jc w:val="center"/>
              <w:rPr>
                <w:rFonts w:ascii="Times New Roman" w:hAnsi="Times New Roman" w:cs="Times New Roman"/>
                <w:b/>
                <w:b/>
              </w:rPr>
            </w:pPr>
            <w:r>
              <w:rPr>
                <w:rFonts w:cs="Times New Roman" w:ascii="Times New Roman" w:hAnsi="Times New Roman"/>
                <w:b/>
              </w:rPr>
              <w:t>Учетный номер</w:t>
            </w:r>
          </w:p>
        </w:tc>
        <w:tc>
          <w:tcPr>
            <w:tcW w:w="1985"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ind w:left="-83" w:right="-108" w:hanging="0"/>
              <w:contextualSpacing/>
              <w:jc w:val="center"/>
              <w:rPr>
                <w:rFonts w:ascii="Times New Roman" w:hAnsi="Times New Roman" w:cs="Times New Roman"/>
                <w:b/>
                <w:b/>
              </w:rPr>
            </w:pPr>
            <w:r>
              <w:rPr>
                <w:rFonts w:cs="Times New Roman" w:ascii="Times New Roman" w:hAnsi="Times New Roman"/>
                <w:b/>
              </w:rPr>
              <w:t>Наименование автомобильной дороги (далее, а/д)</w:t>
            </w:r>
          </w:p>
        </w:tc>
        <w:tc>
          <w:tcPr>
            <w:tcW w:w="2408"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contextualSpacing/>
              <w:jc w:val="center"/>
              <w:rPr>
                <w:rFonts w:ascii="Times New Roman" w:hAnsi="Times New Roman" w:cs="Times New Roman"/>
                <w:b/>
                <w:b/>
              </w:rPr>
            </w:pPr>
            <w:r>
              <w:rPr>
                <w:rFonts w:cs="Times New Roman" w:ascii="Times New Roman" w:hAnsi="Times New Roman"/>
                <w:b/>
              </w:rPr>
              <w:t>Значение</w:t>
            </w:r>
          </w:p>
        </w:tc>
        <w:tc>
          <w:tcPr>
            <w:tcW w:w="824" w:type="dxa"/>
            <w:tcBorders>
              <w:top w:val="single" w:sz="4" w:space="0" w:color="000000"/>
              <w:left w:val="single" w:sz="4" w:space="0" w:color="000000"/>
              <w:bottom w:val="single" w:sz="4" w:space="0" w:color="000000"/>
              <w:right w:val="single" w:sz="4" w:space="0" w:color="000000"/>
            </w:tcBorders>
            <w:shd w:color="auto" w:fill="FFFFFF" w:themeFill="background1" w:val="clear"/>
            <w:vAlign w:val="center"/>
          </w:tcPr>
          <w:p>
            <w:pPr>
              <w:pStyle w:val="Normal"/>
              <w:spacing w:lineRule="auto" w:line="285" w:before="0" w:after="0"/>
              <w:contextualSpacing/>
              <w:jc w:val="center"/>
              <w:rPr>
                <w:rFonts w:ascii="Times New Roman" w:hAnsi="Times New Roman" w:cs="Times New Roman"/>
                <w:b/>
                <w:b/>
              </w:rPr>
            </w:pPr>
            <w:r>
              <w:rPr>
                <w:rFonts w:cs="Times New Roman" w:ascii="Times New Roman" w:hAnsi="Times New Roman"/>
                <w:b/>
              </w:rPr>
              <w:t>Всего (км.)</w:t>
            </w:r>
          </w:p>
        </w:tc>
      </w:tr>
      <w:tr>
        <w:trPr>
          <w:trHeight w:val="1348" w:hRule="atLeast"/>
        </w:trPr>
        <w:tc>
          <w:tcPr>
            <w:tcW w:w="53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rPr>
                <w:rFonts w:ascii="Times New Roman" w:hAnsi="Times New Roman" w:cs="Times New Roman"/>
              </w:rPr>
            </w:pPr>
            <w:r>
              <w:rPr>
                <w:rFonts w:cs="Times New Roman" w:ascii="Times New Roman" w:hAnsi="Times New Roman"/>
              </w:rPr>
              <w:t>1</w:t>
            </w:r>
          </w:p>
        </w:tc>
        <w:tc>
          <w:tcPr>
            <w:tcW w:w="229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89 ОП РЗ 89 К-237-04</w:t>
            </w:r>
          </w:p>
        </w:tc>
        <w:tc>
          <w:tcPr>
            <w:tcW w:w="1842"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РЗ 89 К-237-04</w:t>
            </w:r>
          </w:p>
        </w:tc>
        <w:tc>
          <w:tcPr>
            <w:tcW w:w="198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«г. Саранск - с. Большие Березники - с. Дубенки» - с. Татарская Тавла</w:t>
            </w:r>
          </w:p>
        </w:tc>
        <w:tc>
          <w:tcPr>
            <w:tcW w:w="2408"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автомобильная дорога регионального или межмуниципального значения</w:t>
            </w:r>
          </w:p>
        </w:tc>
        <w:tc>
          <w:tcPr>
            <w:tcW w:w="82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2,987</w:t>
            </w:r>
          </w:p>
        </w:tc>
      </w:tr>
      <w:tr>
        <w:trPr>
          <w:trHeight w:val="1409" w:hRule="atLeast"/>
        </w:trPr>
        <w:tc>
          <w:tcPr>
            <w:tcW w:w="53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rPr>
                <w:rFonts w:ascii="Times New Roman" w:hAnsi="Times New Roman" w:cs="Times New Roman"/>
              </w:rPr>
            </w:pPr>
            <w:r>
              <w:rPr>
                <w:rFonts w:cs="Times New Roman" w:ascii="Times New Roman" w:hAnsi="Times New Roman"/>
              </w:rPr>
              <w:t>2</w:t>
            </w:r>
          </w:p>
        </w:tc>
        <w:tc>
          <w:tcPr>
            <w:tcW w:w="229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89 ОП РЗ 89 К-237-05</w:t>
            </w:r>
          </w:p>
        </w:tc>
        <w:tc>
          <w:tcPr>
            <w:tcW w:w="1842"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РЗ 89 К-237-05</w:t>
            </w:r>
          </w:p>
        </w:tc>
        <w:tc>
          <w:tcPr>
            <w:tcW w:w="198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«г. Саранск - с. Сурское - г. Ульяновск» - с. Татарская Тавла</w:t>
            </w:r>
          </w:p>
        </w:tc>
        <w:tc>
          <w:tcPr>
            <w:tcW w:w="2408"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автомобильная дорога регионального или межмуниципального значения</w:t>
            </w:r>
          </w:p>
        </w:tc>
        <w:tc>
          <w:tcPr>
            <w:tcW w:w="82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4,112</w:t>
            </w:r>
          </w:p>
        </w:tc>
      </w:tr>
      <w:tr>
        <w:trPr>
          <w:trHeight w:val="988" w:hRule="atLeast"/>
        </w:trPr>
        <w:tc>
          <w:tcPr>
            <w:tcW w:w="53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rPr>
                <w:rFonts w:ascii="Times New Roman" w:hAnsi="Times New Roman" w:cs="Times New Roman"/>
              </w:rPr>
            </w:pPr>
            <w:r>
              <w:rPr>
                <w:rFonts w:cs="Times New Roman" w:ascii="Times New Roman" w:hAnsi="Times New Roman"/>
              </w:rPr>
              <w:t>3</w:t>
            </w:r>
          </w:p>
        </w:tc>
        <w:tc>
          <w:tcPr>
            <w:tcW w:w="229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89 ОП РЗ 89 К-10</w:t>
            </w:r>
          </w:p>
        </w:tc>
        <w:tc>
          <w:tcPr>
            <w:tcW w:w="1842"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РЗ 89 К-10</w:t>
            </w:r>
          </w:p>
        </w:tc>
        <w:tc>
          <w:tcPr>
            <w:tcW w:w="1985"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г. Саранск - с. Большие Березники - с. Дубенки</w:t>
            </w:r>
          </w:p>
        </w:tc>
        <w:tc>
          <w:tcPr>
            <w:tcW w:w="2408"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автомобильная дорога регионального или межмуниципального значения</w:t>
            </w:r>
          </w:p>
        </w:tc>
        <w:tc>
          <w:tcPr>
            <w:tcW w:w="824"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pacing w:lineRule="auto" w:line="285"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89,3</w:t>
            </w:r>
          </w:p>
        </w:tc>
      </w:tr>
    </w:tbl>
    <w:p>
      <w:pPr>
        <w:pStyle w:val="Normal"/>
        <w:widowControl w:val="false"/>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Основу уличной сети составляют жилые улицы.</w:t>
      </w:r>
    </w:p>
    <w:p>
      <w:pPr>
        <w:pStyle w:val="BodyTextIndent2"/>
        <w:spacing w:lineRule="auto" w:line="276" w:before="0" w:after="0"/>
        <w:ind w:left="0" w:firstLine="851"/>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pPr>
        <w:pStyle w:val="BodyTextIndent2"/>
        <w:numPr>
          <w:ilvl w:val="0"/>
          <w:numId w:val="3"/>
        </w:numPr>
        <w:spacing w:lineRule="auto" w:line="276"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семидесяти пяти метров – для автомобильных дорог первой и второй категорий;</w:t>
      </w:r>
    </w:p>
    <w:p>
      <w:pPr>
        <w:pStyle w:val="BodyTextIndent2"/>
        <w:numPr>
          <w:ilvl w:val="0"/>
          <w:numId w:val="3"/>
        </w:numPr>
        <w:spacing w:lineRule="auto" w:line="276"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пятидесяти метров – для автомобильных дорог третьей и четвертой категорий;</w:t>
      </w:r>
    </w:p>
    <w:p>
      <w:pPr>
        <w:pStyle w:val="BodyTextIndent2"/>
        <w:numPr>
          <w:ilvl w:val="0"/>
          <w:numId w:val="3"/>
        </w:numPr>
        <w:spacing w:lineRule="auto" w:line="276" w:before="0" w:after="0"/>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двадцати пяти метров – для автомобильных дорог пятой категории;</w:t>
      </w:r>
    </w:p>
    <w:p>
      <w:pPr>
        <w:pStyle w:val="BodyTextIndent2"/>
        <w:numPr>
          <w:ilvl w:val="0"/>
          <w:numId w:val="3"/>
        </w:numPr>
        <w:spacing w:lineRule="auto" w:line="276" w:before="0" w:after="0"/>
        <w:ind w:left="0" w:firstLine="851"/>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 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pPr>
        <w:pStyle w:val="BodyTextIndent2"/>
        <w:numPr>
          <w:ilvl w:val="0"/>
          <w:numId w:val="3"/>
        </w:numPr>
        <w:spacing w:lineRule="auto" w:line="276" w:before="0" w:after="0"/>
        <w:ind w:left="0" w:firstLine="851"/>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pPr>
        <w:pStyle w:val="BodyTextIndent2"/>
        <w:spacing w:lineRule="auto" w:line="276" w:before="0" w:after="0"/>
        <w:ind w:left="0" w:firstLine="851"/>
        <w:contextualSpacing/>
        <w:jc w:val="both"/>
        <w:rPr>
          <w:rFonts w:ascii="Times New Roman" w:hAnsi="Times New Roman" w:cs="Times New Roman"/>
          <w:color w:val="000000"/>
          <w:sz w:val="24"/>
          <w:szCs w:val="24"/>
        </w:rPr>
      </w:pPr>
      <w:r>
        <w:rPr>
          <w:rFonts w:cs="Times New Roman" w:ascii="Times New Roman" w:hAnsi="Times New Roman"/>
          <w:color w:val="000000"/>
          <w:sz w:val="24"/>
          <w:szCs w:val="24"/>
        </w:rPr>
        <w:t>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органом местного самоуправления.</w:t>
      </w:r>
    </w:p>
    <w:p>
      <w:pPr>
        <w:pStyle w:val="Normal"/>
        <w:spacing w:lineRule="auto" w:line="285" w:before="0" w:after="0"/>
        <w:contextualSpacing/>
        <w:jc w:val="both"/>
        <w:rPr>
          <w:rFonts w:ascii="Times New Roman" w:hAnsi="Times New Roman"/>
          <w:b/>
          <w:b/>
          <w:color w:val="365F91" w:themeColor="accent1" w:themeShade="bf"/>
          <w:sz w:val="24"/>
          <w:lang w:eastAsia="en-US" w:bidi="en-US"/>
        </w:rPr>
      </w:pPr>
      <w:r>
        <w:rPr>
          <w:rFonts w:ascii="Times New Roman" w:hAnsi="Times New Roman"/>
          <w:b/>
          <w:color w:val="365F91" w:themeColor="accent1" w:themeShade="bf"/>
          <w:sz w:val="24"/>
          <w:lang w:eastAsia="en-US" w:bidi="en-US"/>
        </w:rPr>
      </w:r>
    </w:p>
    <w:p>
      <w:pPr>
        <w:pStyle w:val="Normal"/>
        <w:spacing w:lineRule="auto" w:line="285" w:before="0" w:after="0"/>
        <w:ind w:firstLine="851"/>
        <w:contextualSpacing/>
        <w:jc w:val="both"/>
        <w:rPr>
          <w:rFonts w:ascii="Times New Roman" w:hAnsi="Times New Roman"/>
          <w:b/>
          <w:b/>
          <w:color w:val="365F91" w:themeColor="accent1" w:themeShade="bf"/>
          <w:sz w:val="24"/>
          <w:lang w:eastAsia="en-US" w:bidi="en-US"/>
        </w:rPr>
      </w:pPr>
      <w:r>
        <w:rPr>
          <w:rFonts w:ascii="Times New Roman" w:hAnsi="Times New Roman"/>
          <w:b/>
          <w:color w:val="365F91" w:themeColor="accent1" w:themeShade="bf"/>
          <w:sz w:val="24"/>
          <w:lang w:eastAsia="en-US" w:bidi="en-US"/>
        </w:rPr>
        <w:t>2.6 Инженерная инфраструктура</w:t>
      </w:r>
    </w:p>
    <w:p>
      <w:pPr>
        <w:pStyle w:val="Normal"/>
        <w:spacing w:lineRule="auto" w:line="285" w:before="0" w:after="0"/>
        <w:ind w:firstLine="851"/>
        <w:contextualSpacing/>
        <w:jc w:val="both"/>
        <w:rPr>
          <w:rFonts w:ascii="Times New Roman" w:hAnsi="Times New Roman"/>
          <w:sz w:val="24"/>
          <w:lang w:eastAsia="en-US" w:bidi="en-US"/>
        </w:rPr>
      </w:pPr>
      <w:r>
        <w:rPr>
          <w:rFonts w:ascii="Times New Roman" w:hAnsi="Times New Roman"/>
          <w:sz w:val="24"/>
          <w:lang w:eastAsia="en-US" w:bidi="en-US"/>
        </w:rPr>
      </w:r>
    </w:p>
    <w:p>
      <w:pPr>
        <w:pStyle w:val="Normal"/>
        <w:spacing w:lineRule="auto" w:line="285" w:before="0" w:after="0"/>
        <w:ind w:firstLine="851"/>
        <w:contextualSpacing/>
        <w:jc w:val="both"/>
        <w:rPr>
          <w:rFonts w:ascii="Times New Roman" w:hAnsi="Times New Roman"/>
          <w:sz w:val="24"/>
          <w:lang w:eastAsia="en-US" w:bidi="en-US"/>
        </w:rPr>
      </w:pPr>
      <w:r>
        <w:rPr>
          <w:rFonts w:ascii="Times New Roman" w:hAnsi="Times New Roman"/>
          <w:sz w:val="24"/>
          <w:lang w:eastAsia="en-US" w:bidi="en-US"/>
        </w:rPr>
        <w:t xml:space="preserve">Объекты инженерной инфраструктуры </w:t>
      </w:r>
      <w:r>
        <w:rPr>
          <w:rFonts w:ascii="Times New Roman" w:hAnsi="Times New Roman"/>
          <w:bCs/>
          <w:sz w:val="24"/>
          <w:lang w:eastAsia="en-US" w:bidi="en-US"/>
        </w:rPr>
        <w:t>коммунального</w:t>
      </w:r>
      <w:r>
        <w:rPr>
          <w:rFonts w:ascii="Times New Roman" w:hAnsi="Times New Roman"/>
          <w:sz w:val="24"/>
          <w:lang w:eastAsia="en-US" w:bidi="en-US"/>
        </w:rPr>
        <w:t xml:space="preserve"> назначения (водоснабжение, водоотведение, теплоснабжение и др.) предназначены для жизнеобеспечения населения и функционирования объектов социальной инфраструктуры.</w:t>
      </w:r>
    </w:p>
    <w:p>
      <w:pPr>
        <w:pStyle w:val="Normal"/>
        <w:spacing w:before="0" w:after="0"/>
        <w:ind w:firstLine="851"/>
        <w:contextualSpacing/>
        <w:jc w:val="both"/>
        <w:rPr>
          <w:rFonts w:ascii="Times New Roman" w:hAnsi="Times New Roman"/>
          <w:sz w:val="24"/>
          <w:lang w:bidi="ru-RU"/>
        </w:rPr>
      </w:pPr>
      <w:r>
        <w:rPr>
          <w:rFonts w:ascii="Times New Roman" w:hAnsi="Times New Roman"/>
          <w:sz w:val="24"/>
          <w:lang w:bidi="ru-RU"/>
        </w:rPr>
        <w:t xml:space="preserve">Структура обеспеченности жилищно-коммунальными услугами в значительной степени предопределяется уровнем благоустройства жилищного фонда. </w:t>
      </w:r>
    </w:p>
    <w:p>
      <w:pPr>
        <w:pStyle w:val="Normal"/>
        <w:spacing w:before="0" w:after="0"/>
        <w:ind w:firstLine="851"/>
        <w:contextualSpacing/>
        <w:jc w:val="both"/>
        <w:rPr>
          <w:rFonts w:ascii="Times New Roman" w:hAnsi="Times New Roman"/>
          <w:sz w:val="24"/>
          <w:lang w:bidi="ru-RU"/>
        </w:rPr>
      </w:pPr>
      <w:r>
        <w:rPr>
          <w:rFonts w:ascii="Times New Roman" w:hAnsi="Times New Roman"/>
          <w:sz w:val="24"/>
          <w:lang w:bidi="ru-RU"/>
        </w:rPr>
      </w:r>
    </w:p>
    <w:p>
      <w:pPr>
        <w:pStyle w:val="Normal"/>
        <w:shd w:val="clear" w:color="auto" w:fill="FFFFFF"/>
        <w:spacing w:before="0" w:after="0"/>
        <w:ind w:firstLine="851"/>
        <w:contextualSpacing/>
        <w:jc w:val="both"/>
        <w:textAlignment w:val="baseline"/>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Таблица 2.6-1 Перечень объектов и расчетные показатели для объектов местного значения в области инженерной инфраструктуры (согласно данным </w:t>
      </w:r>
      <w:r>
        <w:rPr>
          <w:rFonts w:eastAsia="Times New Roman" w:cs="Times New Roman" w:ascii="Times New Roman" w:hAnsi="Times New Roman"/>
          <w:bCs/>
          <w:i/>
          <w:sz w:val="24"/>
          <w:szCs w:val="24"/>
        </w:rPr>
        <w:t>Регионального норматива градостроительного проектирования Республики Мордовия, утвержденного Постановлением Правительства Республики Мордовия от 8 августа 2016 года № 409)</w:t>
      </w:r>
    </w:p>
    <w:tbl>
      <w:tblPr>
        <w:tblW w:w="9780" w:type="dxa"/>
        <w:jc w:val="left"/>
        <w:tblInd w:w="149" w:type="dxa"/>
        <w:tblCellMar>
          <w:top w:w="0" w:type="dxa"/>
          <w:left w:w="149" w:type="dxa"/>
          <w:bottom w:w="0" w:type="dxa"/>
          <w:right w:w="149" w:type="dxa"/>
        </w:tblCellMar>
        <w:tblLook w:firstRow="1" w:noVBand="1" w:lastRow="0" w:firstColumn="1" w:lastColumn="0" w:noHBand="0" w:val="04a0"/>
      </w:tblPr>
      <w:tblGrid>
        <w:gridCol w:w="574"/>
        <w:gridCol w:w="2953"/>
        <w:gridCol w:w="1574"/>
        <w:gridCol w:w="1417"/>
        <w:gridCol w:w="1"/>
        <w:gridCol w:w="1888"/>
        <w:gridCol w:w="1372"/>
      </w:tblGrid>
      <w:tr>
        <w:trPr/>
        <w:tc>
          <w:tcPr>
            <w:tcW w:w="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 xml:space="preserve">№ </w:t>
            </w:r>
            <w:r>
              <w:rPr>
                <w:rFonts w:eastAsia="Times New Roman" w:cs="Times New Roman" w:ascii="Times New Roman" w:hAnsi="Times New Roman"/>
                <w:b/>
              </w:rPr>
              <w:t>п.п</w:t>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Наименование объекта</w:t>
            </w:r>
          </w:p>
        </w:tc>
        <w:tc>
          <w:tcPr>
            <w:tcW w:w="2991"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Показатель минимально допустимого уровня обеспеченности</w:t>
            </w:r>
          </w:p>
        </w:tc>
        <w:tc>
          <w:tcPr>
            <w:tcW w:w="3261" w:type="dxa"/>
            <w:gridSpan w:val="3"/>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Показатель максимально допустимого уровня территориальной доступности</w:t>
            </w:r>
          </w:p>
        </w:tc>
      </w:tr>
      <w:tr>
        <w:trPr/>
        <w:tc>
          <w:tcPr>
            <w:tcW w:w="574" w:type="dxa"/>
            <w:tcBorders>
              <w:top w:val="single" w:sz="6" w:space="0" w:color="000000"/>
              <w:left w:val="single" w:sz="6" w:space="0" w:color="000000"/>
              <w:bottom w:val="single" w:sz="6" w:space="0" w:color="000000"/>
              <w:right w:val="single" w:sz="6" w:space="0" w:color="000000"/>
            </w:tcBorders>
            <w:shd w:color="auto" w:fill="auto" w:val="clear"/>
          </w:tcPr>
          <w:p>
            <w:pPr>
              <w:pStyle w:val="Normal"/>
              <w:spacing w:lineRule="auto" w:line="273" w:before="0" w:after="0"/>
              <w:contextualSpacing/>
              <w:rPr>
                <w:rFonts w:ascii="Times New Roman" w:hAnsi="Times New Roman" w:eastAsia="Times New Roman" w:cs="Times New Roman"/>
              </w:rPr>
            </w:pPr>
            <w:r>
              <w:rPr>
                <w:rFonts w:eastAsia="Times New Roman" w:cs="Times New Roman" w:ascii="Times New Roman" w:hAnsi="Times New Roman"/>
              </w:rPr>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rPr>
                <w:rFonts w:ascii="Times New Roman" w:hAnsi="Times New Roman" w:eastAsia="Times New Roman" w:cs="Times New Roman"/>
              </w:rPr>
            </w:pPr>
            <w:r>
              <w:rPr>
                <w:rFonts w:eastAsia="Times New Roman" w:cs="Times New Roman" w:ascii="Times New Roman" w:hAnsi="Times New Roman"/>
              </w:rPr>
            </w:r>
          </w:p>
        </w:tc>
        <w:tc>
          <w:tcPr>
            <w:tcW w:w="1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единица измерения</w:t>
            </w:r>
          </w:p>
        </w:tc>
        <w:tc>
          <w:tcPr>
            <w:tcW w:w="1418"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величина</w:t>
            </w:r>
          </w:p>
        </w:tc>
        <w:tc>
          <w:tcPr>
            <w:tcW w:w="188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единица измерения</w:t>
            </w:r>
          </w:p>
        </w:tc>
        <w:tc>
          <w:tcPr>
            <w:tcW w:w="1372"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b/>
                <w:b/>
              </w:rPr>
            </w:pPr>
            <w:r>
              <w:rPr>
                <w:rFonts w:eastAsia="Times New Roman" w:cs="Times New Roman" w:ascii="Times New Roman" w:hAnsi="Times New Roman"/>
                <w:b/>
              </w:rPr>
              <w:t>величина</w:t>
            </w:r>
          </w:p>
        </w:tc>
      </w:tr>
      <w:tr>
        <w:trPr/>
        <w:tc>
          <w:tcPr>
            <w:tcW w:w="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1.</w:t>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Объекты, относящиеся к области электроснабжения</w:t>
            </w:r>
          </w:p>
        </w:tc>
        <w:tc>
          <w:tcPr>
            <w:tcW w:w="1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электропотребление, кВт &lt;*&gt; ч/год на 1 человека</w:t>
            </w:r>
          </w:p>
        </w:tc>
        <w:tc>
          <w:tcPr>
            <w:tcW w:w="1418"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2400</w:t>
            </w:r>
          </w:p>
        </w:tc>
        <w:tc>
          <w:tcPr>
            <w:tcW w:w="188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ширина отступа от линий до зданий и сооружений, м</w:t>
            </w:r>
          </w:p>
        </w:tc>
        <w:tc>
          <w:tcPr>
            <w:tcW w:w="1372"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20</w:t>
            </w:r>
          </w:p>
        </w:tc>
      </w:tr>
      <w:tr>
        <w:trPr/>
        <w:tc>
          <w:tcPr>
            <w:tcW w:w="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2.</w:t>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Объекты, относящиеся к области тепло- и газоснабжения населения</w:t>
            </w:r>
          </w:p>
        </w:tc>
        <w:tc>
          <w:tcPr>
            <w:tcW w:w="1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тепло- газо- снабжение, м(3)/год на 1 человека</w:t>
            </w:r>
          </w:p>
        </w:tc>
        <w:tc>
          <w:tcPr>
            <w:tcW w:w="1418"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120</w:t>
            </w:r>
          </w:p>
        </w:tc>
        <w:tc>
          <w:tcPr>
            <w:tcW w:w="188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ширина отступа от линий до зданий и сооружений, м</w:t>
            </w:r>
          </w:p>
        </w:tc>
        <w:tc>
          <w:tcPr>
            <w:tcW w:w="1372"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10</w:t>
            </w:r>
          </w:p>
        </w:tc>
      </w:tr>
      <w:tr>
        <w:trPr/>
        <w:tc>
          <w:tcPr>
            <w:tcW w:w="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3.</w:t>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Объекты, относящиеся к области водоснабжения населения</w:t>
            </w:r>
          </w:p>
        </w:tc>
        <w:tc>
          <w:tcPr>
            <w:tcW w:w="1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водоснабжение, л/сут. на 1 человека</w:t>
            </w:r>
          </w:p>
        </w:tc>
        <w:tc>
          <w:tcPr>
            <w:tcW w:w="1418"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115</w:t>
            </w:r>
          </w:p>
        </w:tc>
        <w:tc>
          <w:tcPr>
            <w:tcW w:w="188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ширина отступа от линий до зданий и сооружений, м</w:t>
            </w:r>
          </w:p>
        </w:tc>
        <w:tc>
          <w:tcPr>
            <w:tcW w:w="1372"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5</w:t>
            </w:r>
          </w:p>
        </w:tc>
      </w:tr>
      <w:tr>
        <w:trPr/>
        <w:tc>
          <w:tcPr>
            <w:tcW w:w="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4.</w:t>
            </w:r>
          </w:p>
        </w:tc>
        <w:tc>
          <w:tcPr>
            <w:tcW w:w="2953"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Объекты, относящиеся к области водоотведения</w:t>
            </w:r>
          </w:p>
        </w:tc>
        <w:tc>
          <w:tcPr>
            <w:tcW w:w="1574"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водоотведение, % от водопотребления</w:t>
            </w:r>
          </w:p>
        </w:tc>
        <w:tc>
          <w:tcPr>
            <w:tcW w:w="1418" w:type="dxa"/>
            <w:gridSpan w:val="2"/>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45</w:t>
            </w:r>
          </w:p>
        </w:tc>
        <w:tc>
          <w:tcPr>
            <w:tcW w:w="1888"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both"/>
              <w:textAlignment w:val="baseline"/>
              <w:rPr>
                <w:rFonts w:ascii="Times New Roman" w:hAnsi="Times New Roman" w:eastAsia="Times New Roman" w:cs="Times New Roman"/>
              </w:rPr>
            </w:pPr>
            <w:r>
              <w:rPr>
                <w:rFonts w:eastAsia="Times New Roman" w:cs="Times New Roman" w:ascii="Times New Roman" w:hAnsi="Times New Roman"/>
              </w:rPr>
              <w:t>ширина отступа от линий до зданий и сооружений, м</w:t>
            </w:r>
          </w:p>
        </w:tc>
        <w:tc>
          <w:tcPr>
            <w:tcW w:w="1372" w:type="dxa"/>
            <w:tcBorders>
              <w:top w:val="single" w:sz="6" w:space="0" w:color="000000"/>
              <w:left w:val="single" w:sz="6" w:space="0" w:color="000000"/>
              <w:bottom w:val="single" w:sz="6" w:space="0" w:color="000000"/>
              <w:right w:val="single" w:sz="6" w:space="0" w:color="000000"/>
            </w:tcBorders>
            <w:shd w:color="auto" w:fill="auto" w:val="clear"/>
            <w:vAlign w:val="center"/>
          </w:tcPr>
          <w:p>
            <w:pPr>
              <w:pStyle w:val="Normal"/>
              <w:spacing w:lineRule="auto" w:line="273" w:before="0" w:after="0"/>
              <w:contextualSpacing/>
              <w:jc w:val="center"/>
              <w:textAlignment w:val="baseline"/>
              <w:rPr>
                <w:rFonts w:ascii="Times New Roman" w:hAnsi="Times New Roman" w:eastAsia="Times New Roman" w:cs="Times New Roman"/>
              </w:rPr>
            </w:pPr>
            <w:r>
              <w:rPr>
                <w:rFonts w:eastAsia="Times New Roman" w:cs="Times New Roman" w:ascii="Times New Roman" w:hAnsi="Times New Roman"/>
              </w:rPr>
              <w:t>5</w:t>
            </w:r>
          </w:p>
        </w:tc>
      </w:tr>
    </w:tbl>
    <w:p>
      <w:pPr>
        <w:pStyle w:val="S6"/>
        <w:spacing w:lineRule="auto" w:line="273" w:before="0" w:after="0"/>
        <w:ind w:firstLine="851"/>
        <w:contextualSpacing/>
        <w:rPr>
          <w:b/>
          <w:b/>
          <w:color w:val="365F91" w:themeColor="accent1" w:themeShade="bf"/>
        </w:rPr>
      </w:pPr>
      <w:r>
        <w:rPr>
          <w:b/>
          <w:color w:val="365F91" w:themeColor="accent1" w:themeShade="bf"/>
        </w:rPr>
      </w:r>
    </w:p>
    <w:p>
      <w:pPr>
        <w:pStyle w:val="S6"/>
        <w:spacing w:lineRule="auto" w:line="273" w:before="0" w:after="0"/>
        <w:ind w:firstLine="851"/>
        <w:contextualSpacing/>
        <w:rPr>
          <w:b/>
          <w:b/>
          <w:color w:val="365F91" w:themeColor="accent1" w:themeShade="bf"/>
        </w:rPr>
      </w:pPr>
      <w:r>
        <w:rPr>
          <w:b/>
          <w:color w:val="365F91" w:themeColor="accent1" w:themeShade="bf"/>
        </w:rPr>
        <w:t>Связь</w:t>
      </w:r>
    </w:p>
    <w:p>
      <w:pPr>
        <w:pStyle w:val="S6"/>
        <w:spacing w:lineRule="auto" w:line="273" w:before="0" w:after="0"/>
        <w:ind w:firstLine="851"/>
        <w:contextualSpacing/>
        <w:rPr/>
      </w:pPr>
      <w:r>
        <w:rPr/>
      </w:r>
    </w:p>
    <w:p>
      <w:pPr>
        <w:pStyle w:val="S6"/>
        <w:spacing w:lineRule="auto" w:line="276" w:before="0" w:after="0"/>
        <w:ind w:firstLine="851"/>
        <w:contextualSpacing/>
        <w:rPr/>
      </w:pPr>
      <w:r>
        <w:rPr/>
        <w:t xml:space="preserve">На территории Татарско-Тавлинского сельского поселения населению предоставляются все основные виды услуг связи: телефонная местная, внутризоновая, междугородняя, международная, сотовая связь, имеется доступ к сети Интернет. </w:t>
      </w:r>
    </w:p>
    <w:p>
      <w:pPr>
        <w:pStyle w:val="S6"/>
        <w:spacing w:lineRule="auto" w:line="276" w:before="0" w:after="0"/>
        <w:ind w:firstLine="851"/>
        <w:contextualSpacing/>
        <w:rPr/>
      </w:pPr>
      <w:r>
        <w:rPr/>
        <w:t>Село Татарская Тавла имеет доступ к цифровому эфирному телевидению.</w:t>
      </w:r>
    </w:p>
    <w:p>
      <w:pPr>
        <w:pStyle w:val="S6"/>
        <w:spacing w:lineRule="auto" w:line="276" w:before="0" w:after="0"/>
        <w:ind w:firstLine="851"/>
        <w:contextualSpacing/>
        <w:rPr/>
      </w:pPr>
      <w:r>
        <w:rPr/>
        <w:t>Услуги почтовой связи жителям Татарско-Тавлинского сельского поселения оказывает отделение почтовой связи 431535 с. Татарская Тавла, расположенное в Татарско-Тавлинском сельском поселении Лямбирского муниципального района. В последнее время перечень услуг, оказываемый почтовыми отделениями связи, значительно расширился: ведется прием и выдача почтовых отправлений, подписка на периодические издания, выплата пенсий и социальных пособий, реализация газет и журналов в розницу, принимаются счета на оплату коммунальных и иных услуг и т.д.</w:t>
      </w:r>
    </w:p>
    <w:p>
      <w:pPr>
        <w:pStyle w:val="S6"/>
        <w:spacing w:lineRule="auto" w:line="276" w:before="0" w:after="0"/>
        <w:ind w:firstLine="851"/>
        <w:contextualSpacing/>
        <w:rPr/>
      </w:pPr>
      <w:r>
        <w:rPr/>
      </w:r>
    </w:p>
    <w:p>
      <w:pPr>
        <w:pStyle w:val="S6"/>
        <w:spacing w:lineRule="auto" w:line="276" w:before="0" w:after="0"/>
        <w:ind w:firstLine="851"/>
        <w:contextualSpacing/>
        <w:rPr/>
      </w:pPr>
      <w:r>
        <w:rPr/>
      </w:r>
    </w:p>
    <w:p>
      <w:pPr>
        <w:pStyle w:val="S6"/>
        <w:spacing w:lineRule="auto" w:line="276" w:before="0" w:after="0"/>
        <w:ind w:firstLine="851"/>
        <w:contextualSpacing/>
        <w:rPr/>
      </w:pPr>
      <w:r>
        <w:rPr/>
      </w:r>
    </w:p>
    <w:p>
      <w:pPr>
        <w:pStyle w:val="S6"/>
        <w:spacing w:lineRule="auto" w:line="276" w:before="0" w:after="0"/>
        <w:ind w:firstLine="851"/>
        <w:contextualSpacing/>
        <w:rPr>
          <w:b/>
          <w:b/>
          <w:color w:val="365F91" w:themeColor="accent1" w:themeShade="bf"/>
        </w:rPr>
      </w:pPr>
      <w:r>
        <w:rPr>
          <w:b/>
          <w:color w:val="365F91" w:themeColor="accent1" w:themeShade="bf"/>
        </w:rPr>
        <w:t>Водоснабжение</w:t>
      </w:r>
    </w:p>
    <w:p>
      <w:pPr>
        <w:pStyle w:val="S6"/>
        <w:spacing w:lineRule="auto" w:line="276" w:before="0" w:after="0"/>
        <w:contextualSpacing/>
        <w:rPr/>
      </w:pPr>
      <w:r>
        <w:rPr/>
      </w:r>
    </w:p>
    <w:p>
      <w:pPr>
        <w:pStyle w:val="Normal"/>
        <w:spacing w:before="0" w:after="0"/>
        <w:ind w:firstLine="851"/>
        <w:contextualSpacing/>
        <w:jc w:val="both"/>
        <w:rPr>
          <w:rFonts w:ascii="Times New Roman" w:hAnsi="Times New Roman" w:eastAsia="Times New Roman" w:cs="Times New Roman"/>
          <w:bCs/>
          <w:sz w:val="24"/>
          <w:szCs w:val="24"/>
        </w:rPr>
      </w:pPr>
      <w:r>
        <w:rPr>
          <w:rFonts w:eastAsia="Times New Roman" w:cs="Times New Roman" w:ascii="Times New Roman" w:hAnsi="Times New Roman"/>
          <w:bCs/>
          <w:sz w:val="24"/>
          <w:szCs w:val="24"/>
        </w:rPr>
        <w:t>В сельском поселении имеется водопровод протяженностью 5082 метров с кадастровым номером 13:15:0000000:670, который полностью соответствует требованиям СанПин 2.1.4. 1074-01. «Питьевая вода».</w:t>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Водоотведение</w:t>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Не существует.</w:t>
      </w:r>
    </w:p>
    <w:p>
      <w:pPr>
        <w:pStyle w:val="S6"/>
        <w:spacing w:lineRule="auto" w:line="276" w:before="0" w:after="0"/>
        <w:ind w:firstLine="851"/>
        <w:contextualSpacing/>
        <w:rPr/>
      </w:pPr>
      <w:r>
        <w:rPr/>
      </w:r>
    </w:p>
    <w:p>
      <w:pPr>
        <w:pStyle w:val="S6"/>
        <w:spacing w:lineRule="auto" w:line="276" w:before="0" w:after="0"/>
        <w:ind w:firstLine="851"/>
        <w:contextualSpacing/>
        <w:rPr>
          <w:b/>
          <w:b/>
          <w:color w:val="365F91" w:themeColor="accent1" w:themeShade="bf"/>
        </w:rPr>
      </w:pPr>
      <w:r>
        <w:rPr>
          <w:b/>
          <w:color w:val="365F91" w:themeColor="accent1" w:themeShade="bf"/>
        </w:rPr>
        <w:t>Теплоснабжение</w:t>
      </w:r>
    </w:p>
    <w:p>
      <w:pPr>
        <w:pStyle w:val="S6"/>
        <w:spacing w:lineRule="auto" w:line="276" w:before="0" w:after="0"/>
        <w:ind w:firstLine="851"/>
        <w:contextualSpacing/>
        <w:rPr/>
      </w:pPr>
      <w:r>
        <w:rPr/>
      </w:r>
    </w:p>
    <w:p>
      <w:pPr>
        <w:pStyle w:val="S6"/>
        <w:spacing w:lineRule="auto" w:line="276" w:before="0" w:after="0"/>
        <w:ind w:firstLine="851"/>
        <w:contextualSpacing/>
        <w:rPr>
          <w:rFonts w:eastAsia="" w:cs="" w:cstheme="minorBidi" w:eastAsiaTheme="minorEastAsia"/>
          <w:bCs/>
        </w:rPr>
      </w:pPr>
      <w:r>
        <w:rPr>
          <w:rFonts w:eastAsia="" w:cs="" w:cstheme="minorBidi" w:eastAsiaTheme="minorEastAsia"/>
          <w:bCs/>
        </w:rPr>
        <w:t xml:space="preserve">В сельском поселении отсутствует система централизованного теплоснабжения. </w:t>
      </w:r>
    </w:p>
    <w:p>
      <w:pPr>
        <w:pStyle w:val="S6"/>
        <w:spacing w:lineRule="auto" w:line="276" w:before="0" w:after="0"/>
        <w:contextualSpacing/>
        <w:rPr/>
      </w:pPr>
      <w:r>
        <w:rPr/>
      </w:r>
      <w:bookmarkStart w:id="4" w:name="_Toc134871233"/>
      <w:bookmarkStart w:id="5" w:name="_Toc134871233"/>
      <w:bookmarkEnd w:id="5"/>
    </w:p>
    <w:p>
      <w:pPr>
        <w:pStyle w:val="Normal"/>
        <w:spacing w:before="0" w:after="0"/>
        <w:ind w:firstLine="851"/>
        <w:contextualSpacing/>
        <w:jc w:val="both"/>
        <w:rPr>
          <w:rFonts w:ascii="Times New Roman" w:hAnsi="Times New Roman" w:eastAsia="Times New Roman"/>
          <w:b/>
          <w:b/>
          <w:color w:val="365F91" w:themeColor="accent1" w:themeShade="bf"/>
          <w:sz w:val="24"/>
          <w:szCs w:val="24"/>
        </w:rPr>
      </w:pPr>
      <w:r>
        <w:rPr>
          <w:rFonts w:eastAsia="Times New Roman" w:ascii="Times New Roman" w:hAnsi="Times New Roman"/>
          <w:b/>
          <w:color w:val="365F91" w:themeColor="accent1" w:themeShade="bf"/>
          <w:sz w:val="24"/>
          <w:szCs w:val="24"/>
        </w:rPr>
        <w:t>Газоснабжение</w:t>
      </w:r>
    </w:p>
    <w:p>
      <w:pPr>
        <w:pStyle w:val="Normal"/>
        <w:spacing w:before="0" w:after="0"/>
        <w:ind w:firstLine="851"/>
        <w:contextualSpacing/>
        <w:jc w:val="both"/>
        <w:rPr>
          <w:rFonts w:ascii="Times New Roman" w:hAnsi="Times New Roman" w:cs="Times New Roman"/>
          <w:color w:val="000000"/>
          <w:sz w:val="24"/>
          <w:szCs w:val="24"/>
          <w:highlight w:val="white"/>
        </w:rPr>
      </w:pPr>
      <w:r>
        <w:rPr>
          <w:rFonts w:eastAsia="Times New Roman" w:ascii="Times New Roman" w:hAnsi="Times New Roman"/>
          <w:sz w:val="24"/>
          <w:szCs w:val="24"/>
        </w:rPr>
        <w:t xml:space="preserve">Газоснабжение Татарско-Тавлинского сельского поселения осуществляется природным и сжиженным газом при помощи </w:t>
      </w:r>
      <w:r>
        <w:rPr>
          <w:rFonts w:cs="Times New Roman" w:ascii="Times New Roman" w:hAnsi="Times New Roman"/>
          <w:color w:val="000000"/>
          <w:sz w:val="24"/>
          <w:szCs w:val="24"/>
          <w:shd w:fill="FFFFFF" w:val="clear"/>
        </w:rPr>
        <w:t>газопровод высокого до ГРП и газопровод низкого давления.</w:t>
      </w:r>
    </w:p>
    <w:p>
      <w:pPr>
        <w:pStyle w:val="Normal"/>
        <w:shd w:val="clear" w:color="auto" w:fill="FFFFFF"/>
        <w:tabs>
          <w:tab w:val="clear" w:pos="709"/>
          <w:tab w:val="left" w:pos="1185" w:leader="none"/>
        </w:tabs>
        <w:spacing w:before="0" w:after="0"/>
        <w:ind w:firstLine="851"/>
        <w:contextualSpacing/>
        <w:jc w:val="both"/>
        <w:textAlignment w:val="baseline"/>
        <w:rPr>
          <w:rFonts w:ascii="Times New Roman" w:hAnsi="Times New Roman" w:cs="Times New Roman"/>
          <w:sz w:val="24"/>
          <w:szCs w:val="24"/>
        </w:rPr>
      </w:pPr>
      <w:r>
        <w:rPr>
          <w:rFonts w:cs="Times New Roman" w:ascii="Times New Roman" w:hAnsi="Times New Roman"/>
          <w:sz w:val="24"/>
          <w:szCs w:val="24"/>
        </w:rPr>
      </w:r>
    </w:p>
    <w:p>
      <w:pPr>
        <w:pStyle w:val="Standard"/>
        <w:spacing w:lineRule="auto" w:line="276" w:before="0" w:after="0"/>
        <w:ind w:firstLine="851"/>
        <w:contextualSpacing/>
        <w:jc w:val="both"/>
        <w:rPr>
          <w:rFonts w:eastAsia="" w:cs="Times New Roman" w:eastAsiaTheme="minorEastAsia"/>
          <w:b/>
          <w:b/>
          <w:color w:val="365F91" w:themeColor="accent1" w:themeShade="bf"/>
          <w:kern w:val="0"/>
          <w:lang w:eastAsia="ru-RU" w:bidi="ar-SA"/>
        </w:rPr>
      </w:pPr>
      <w:r>
        <w:rPr>
          <w:rFonts w:eastAsia="" w:cs="Times New Roman" w:eastAsiaTheme="minorEastAsia"/>
          <w:b/>
          <w:color w:val="365F91" w:themeColor="accent1" w:themeShade="bf"/>
          <w:kern w:val="0"/>
          <w:lang w:eastAsia="ru-RU" w:bidi="ar-SA"/>
        </w:rPr>
        <w:t>Электроснабжение</w:t>
      </w:r>
    </w:p>
    <w:p>
      <w:pPr>
        <w:pStyle w:val="Standard"/>
        <w:spacing w:lineRule="auto" w:line="276" w:before="0" w:after="0"/>
        <w:ind w:firstLine="851"/>
        <w:contextualSpacing/>
        <w:jc w:val="both"/>
        <w:rPr>
          <w:rFonts w:eastAsia="" w:cs="Times New Roman" w:eastAsiaTheme="minorEastAsia"/>
          <w:kern w:val="0"/>
          <w:lang w:eastAsia="ru-RU" w:bidi="ar-SA"/>
        </w:rPr>
      </w:pPr>
      <w:r>
        <w:rPr>
          <w:rFonts w:eastAsia="" w:cs="Times New Roman" w:eastAsiaTheme="minorEastAsia"/>
          <w:kern w:val="0"/>
          <w:lang w:eastAsia="ru-RU" w:bidi="ar-SA"/>
        </w:rPr>
      </w:r>
    </w:p>
    <w:p>
      <w:pPr>
        <w:pStyle w:val="Standard"/>
        <w:spacing w:lineRule="auto" w:line="276" w:before="0" w:after="0"/>
        <w:ind w:firstLine="851"/>
        <w:contextualSpacing/>
        <w:jc w:val="both"/>
        <w:rPr>
          <w:rFonts w:eastAsia="" w:cs="Times New Roman" w:eastAsiaTheme="minorEastAsia"/>
          <w:kern w:val="0"/>
          <w:lang w:eastAsia="ru-RU" w:bidi="ar-SA"/>
        </w:rPr>
      </w:pPr>
      <w:r>
        <w:rPr>
          <w:rFonts w:eastAsia="" w:cs="Times New Roman" w:eastAsiaTheme="minorEastAsia"/>
          <w:kern w:val="0"/>
          <w:lang w:eastAsia="ru-RU" w:bidi="ar-SA"/>
        </w:rPr>
        <w:t>Собственных источников электроснабжения Татарско-Тавлинское сельское поселение не имеет, поэтому электроснабжение осуществляется от системы «Мордовэнерго» через опорные подстанции 110/10 кВ.</w:t>
      </w:r>
    </w:p>
    <w:p>
      <w:pPr>
        <w:pStyle w:val="Standard"/>
        <w:spacing w:lineRule="auto" w:line="276" w:before="0" w:after="0"/>
        <w:ind w:firstLine="851"/>
        <w:contextualSpacing/>
        <w:jc w:val="both"/>
        <w:rPr>
          <w:rFonts w:eastAsia="" w:cs="Times New Roman" w:eastAsiaTheme="minorEastAsia"/>
          <w:kern w:val="0"/>
          <w:lang w:eastAsia="ru-RU" w:bidi="ar-SA"/>
        </w:rPr>
      </w:pPr>
      <w:r>
        <w:rPr>
          <w:rFonts w:eastAsia="" w:cs="Times New Roman" w:eastAsiaTheme="minorEastAsia"/>
          <w:kern w:val="0"/>
          <w:lang w:eastAsia="ru-RU" w:bidi="ar-SA"/>
        </w:rPr>
        <w:t>Распределение электроэнергии между потребителями сельского поселения осуществляется на напряжение 10 кВ. Существующая схема высоковольтных электрических сетей обеспечивает надёжное электроснабжение сельского поселения. Основной проблемой является изношенность распределительных электрических сетей.</w:t>
      </w:r>
    </w:p>
    <w:p>
      <w:pPr>
        <w:pStyle w:val="Standard"/>
        <w:spacing w:lineRule="auto" w:line="276" w:before="0" w:after="0"/>
        <w:ind w:firstLine="851"/>
        <w:contextualSpacing/>
        <w:jc w:val="both"/>
        <w:rPr>
          <w:rFonts w:eastAsia="" w:cs="Times New Roman" w:eastAsiaTheme="minorEastAsia"/>
          <w:kern w:val="0"/>
          <w:lang w:eastAsia="ru-RU" w:bidi="ar-SA"/>
        </w:rPr>
      </w:pPr>
      <w:r>
        <w:rPr>
          <w:rFonts w:eastAsia="" w:cs="Times New Roman" w:eastAsiaTheme="minorEastAsia"/>
          <w:kern w:val="0"/>
          <w:lang w:eastAsia="ru-RU" w:bidi="ar-SA"/>
        </w:rPr>
      </w:r>
    </w:p>
    <w:p>
      <w:pPr>
        <w:pStyle w:val="S6"/>
        <w:spacing w:lineRule="auto" w:line="276" w:before="0" w:after="0"/>
        <w:ind w:firstLine="851"/>
        <w:contextualSpacing/>
        <w:rPr>
          <w:rStyle w:val="Grame"/>
          <w:b/>
          <w:b/>
          <w:color w:val="365F91" w:themeColor="accent1" w:themeShade="bf"/>
        </w:rPr>
      </w:pPr>
      <w:r>
        <w:rPr>
          <w:rStyle w:val="Grame"/>
          <w:b/>
          <w:color w:val="365F91" w:themeColor="accent1" w:themeShade="bf"/>
        </w:rPr>
        <w:t>Санитарная очистка</w:t>
      </w:r>
    </w:p>
    <w:p>
      <w:pPr>
        <w:pStyle w:val="S6"/>
        <w:spacing w:lineRule="auto" w:line="276" w:before="0" w:after="0"/>
        <w:ind w:firstLine="851"/>
        <w:contextualSpacing/>
        <w:rPr>
          <w:rStyle w:val="Grame"/>
          <w:b/>
          <w:b/>
          <w:color w:val="365F91" w:themeColor="accent1" w:themeShade="bf"/>
        </w:rPr>
      </w:pPr>
      <w:r>
        <w:rPr>
          <w:b/>
          <w:color w:val="365F91" w:themeColor="accent1" w:themeShade="bf"/>
        </w:rPr>
      </w:r>
    </w:p>
    <w:p>
      <w:pPr>
        <w:pStyle w:val="S6"/>
        <w:spacing w:lineRule="auto" w:line="276" w:before="0" w:after="0"/>
        <w:ind w:firstLine="851"/>
        <w:contextualSpacing/>
        <w:rPr>
          <w:rStyle w:val="Grame"/>
        </w:rPr>
      </w:pPr>
      <w:r>
        <w:rPr>
          <w:rStyle w:val="Grame"/>
        </w:rPr>
        <w:t>Объектами санитарной очистки являются:</w:t>
      </w:r>
    </w:p>
    <w:p>
      <w:pPr>
        <w:pStyle w:val="S6"/>
        <w:numPr>
          <w:ilvl w:val="0"/>
          <w:numId w:val="48"/>
        </w:numPr>
        <w:spacing w:lineRule="auto" w:line="276" w:before="0" w:after="0"/>
        <w:ind w:left="0" w:firstLine="851"/>
        <w:contextualSpacing/>
        <w:rPr>
          <w:rStyle w:val="Grame"/>
        </w:rPr>
      </w:pPr>
      <w:r>
        <w:rPr>
          <w:rStyle w:val="Grame"/>
        </w:rPr>
        <w:t>придомовые территории;</w:t>
      </w:r>
    </w:p>
    <w:p>
      <w:pPr>
        <w:pStyle w:val="S6"/>
        <w:numPr>
          <w:ilvl w:val="0"/>
          <w:numId w:val="48"/>
        </w:numPr>
        <w:spacing w:lineRule="auto" w:line="276" w:before="0" w:after="0"/>
        <w:ind w:left="0" w:firstLine="851"/>
        <w:contextualSpacing/>
        <w:rPr>
          <w:rStyle w:val="Grame"/>
        </w:rPr>
      </w:pPr>
      <w:r>
        <w:rPr>
          <w:rStyle w:val="Grame"/>
        </w:rPr>
        <w:t>улицы;</w:t>
      </w:r>
    </w:p>
    <w:p>
      <w:pPr>
        <w:pStyle w:val="S6"/>
        <w:numPr>
          <w:ilvl w:val="0"/>
          <w:numId w:val="48"/>
        </w:numPr>
        <w:spacing w:lineRule="auto" w:line="276" w:before="0" w:after="0"/>
        <w:ind w:left="0" w:firstLine="851"/>
        <w:contextualSpacing/>
        <w:rPr>
          <w:rStyle w:val="Grame"/>
        </w:rPr>
      </w:pPr>
      <w:r>
        <w:rPr>
          <w:rStyle w:val="Grame"/>
        </w:rPr>
        <w:t>проезды;</w:t>
      </w:r>
    </w:p>
    <w:p>
      <w:pPr>
        <w:pStyle w:val="S6"/>
        <w:numPr>
          <w:ilvl w:val="0"/>
          <w:numId w:val="48"/>
        </w:numPr>
        <w:spacing w:lineRule="auto" w:line="276" w:before="0" w:after="0"/>
        <w:ind w:left="0" w:firstLine="851"/>
        <w:contextualSpacing/>
        <w:rPr>
          <w:rStyle w:val="Grame"/>
        </w:rPr>
      </w:pPr>
      <w:r>
        <w:rPr>
          <w:rStyle w:val="Grame"/>
        </w:rPr>
        <w:t>территории объектов культурно-бытового назначения;</w:t>
      </w:r>
    </w:p>
    <w:p>
      <w:pPr>
        <w:pStyle w:val="S6"/>
        <w:numPr>
          <w:ilvl w:val="0"/>
          <w:numId w:val="48"/>
        </w:numPr>
        <w:spacing w:lineRule="auto" w:line="276" w:before="0" w:after="0"/>
        <w:ind w:left="0" w:firstLine="851"/>
        <w:contextualSpacing/>
        <w:rPr>
          <w:rStyle w:val="Grame"/>
        </w:rPr>
      </w:pPr>
      <w:r>
        <w:rPr>
          <w:rStyle w:val="Grame"/>
        </w:rPr>
        <w:t>предприятий, учреждений и организаций;</w:t>
      </w:r>
    </w:p>
    <w:p>
      <w:pPr>
        <w:pStyle w:val="S6"/>
        <w:numPr>
          <w:ilvl w:val="0"/>
          <w:numId w:val="48"/>
        </w:numPr>
        <w:spacing w:lineRule="auto" w:line="276" w:before="0" w:after="0"/>
        <w:ind w:left="0" w:firstLine="851"/>
        <w:contextualSpacing/>
        <w:rPr>
          <w:rStyle w:val="Grame"/>
        </w:rPr>
      </w:pPr>
      <w:r>
        <w:rPr>
          <w:rStyle w:val="Grame"/>
        </w:rPr>
        <w:t>парков;</w:t>
      </w:r>
    </w:p>
    <w:p>
      <w:pPr>
        <w:pStyle w:val="S6"/>
        <w:numPr>
          <w:ilvl w:val="0"/>
          <w:numId w:val="48"/>
        </w:numPr>
        <w:spacing w:lineRule="auto" w:line="276" w:before="0" w:after="0"/>
        <w:ind w:left="0" w:firstLine="851"/>
        <w:contextualSpacing/>
        <w:rPr>
          <w:rStyle w:val="Grame"/>
        </w:rPr>
      </w:pPr>
      <w:r>
        <w:rPr>
          <w:rStyle w:val="Grame"/>
        </w:rPr>
        <w:t>скверов;</w:t>
      </w:r>
    </w:p>
    <w:p>
      <w:pPr>
        <w:pStyle w:val="S6"/>
        <w:numPr>
          <w:ilvl w:val="0"/>
          <w:numId w:val="48"/>
        </w:numPr>
        <w:spacing w:lineRule="auto" w:line="276" w:before="0" w:after="0"/>
        <w:ind w:left="0" w:firstLine="851"/>
        <w:contextualSpacing/>
        <w:rPr>
          <w:rStyle w:val="Grame"/>
        </w:rPr>
      </w:pPr>
      <w:r>
        <w:rPr>
          <w:rStyle w:val="Grame"/>
        </w:rPr>
        <w:t>площадей и иных мест общественного пользования и мест отдыха.</w:t>
      </w:r>
    </w:p>
    <w:p>
      <w:pPr>
        <w:pStyle w:val="S6"/>
        <w:spacing w:lineRule="auto" w:line="276" w:before="0" w:after="0"/>
        <w:ind w:left="851" w:hanging="0"/>
        <w:contextualSpacing/>
        <w:rPr>
          <w:rStyle w:val="Grame"/>
        </w:rPr>
      </w:pPr>
      <w:r>
        <w:rPr/>
      </w:r>
    </w:p>
    <w:p>
      <w:pPr>
        <w:pStyle w:val="S6"/>
        <w:spacing w:lineRule="auto" w:line="276" w:before="0" w:after="0"/>
        <w:ind w:left="851" w:hanging="0"/>
        <w:contextualSpacing/>
        <w:rPr>
          <w:rStyle w:val="Grame"/>
        </w:rPr>
      </w:pPr>
      <w:r>
        <w:rPr/>
      </w:r>
    </w:p>
    <w:p>
      <w:pPr>
        <w:pStyle w:val="S6"/>
        <w:spacing w:lineRule="auto" w:line="276" w:before="0" w:after="0"/>
        <w:ind w:left="851" w:hanging="0"/>
        <w:contextualSpacing/>
        <w:rPr>
          <w:rStyle w:val="Grame"/>
        </w:rPr>
      </w:pPr>
      <w:r>
        <w:rPr/>
      </w:r>
    </w:p>
    <w:p>
      <w:pPr>
        <w:pStyle w:val="S6"/>
        <w:spacing w:lineRule="auto" w:line="276" w:before="0" w:after="0"/>
        <w:ind w:left="851" w:hanging="0"/>
        <w:contextualSpacing/>
        <w:rPr>
          <w:rStyle w:val="Grame"/>
        </w:rPr>
      </w:pPr>
      <w:r>
        <w:rPr/>
      </w:r>
    </w:p>
    <w:p>
      <w:pPr>
        <w:pStyle w:val="S6"/>
        <w:spacing w:lineRule="auto" w:line="276" w:before="0" w:after="0"/>
        <w:ind w:firstLine="851"/>
        <w:contextualSpacing/>
        <w:rPr>
          <w:rStyle w:val="Grame"/>
          <w:b/>
          <w:b/>
        </w:rPr>
      </w:pPr>
      <w:r>
        <w:rPr>
          <w:rStyle w:val="Grame"/>
          <w:b/>
        </w:rPr>
        <w:t>При обращении с отходами необходимо руководствоваться Приказом Министерства энергетики и жилищно-коммунального хозяйства Республики Мордовия от 17 октября 2022 г № 16/245 «Об утверждении территориальной схемы обращения с отходами Республики Мордовия» (с изменениями</w:t>
      </w:r>
      <w:r>
        <w:rPr/>
        <w:t xml:space="preserve"> </w:t>
      </w:r>
      <w:r>
        <w:rPr>
          <w:rStyle w:val="Grame"/>
          <w:b/>
        </w:rPr>
        <w:t>от 07.12.2022 № 16/306).</w:t>
      </w:r>
    </w:p>
    <w:p>
      <w:pPr>
        <w:pStyle w:val="S6"/>
        <w:spacing w:lineRule="auto" w:line="264" w:before="0" w:after="0"/>
        <w:ind w:firstLine="851"/>
        <w:contextualSpacing/>
        <w:rPr>
          <w:rFonts w:eastAsia="" w:eastAsiaTheme="majorEastAsia"/>
        </w:rPr>
      </w:pPr>
      <w:r>
        <w:rPr>
          <w:rStyle w:val="Grame"/>
        </w:rPr>
        <w:t xml:space="preserve">Согласно территориальной схеме обращения с отходами Республики Мордовия, в </w:t>
      </w:r>
      <w:r>
        <w:rPr>
          <w:rFonts w:eastAsia="Calibri"/>
          <w:color w:val="000000"/>
          <w:lang w:eastAsia="en-US"/>
        </w:rPr>
        <w:t>Татарско-Тавлинском сельском поселении</w:t>
      </w:r>
      <w:r>
        <w:rPr>
          <w:rFonts w:eastAsia="" w:eastAsiaTheme="majorEastAsia"/>
        </w:rPr>
        <w:t xml:space="preserve"> регулярно производится система очистки (вывоз ТКО по постоянному графику).</w:t>
      </w:r>
    </w:p>
    <w:p>
      <w:pPr>
        <w:pStyle w:val="S6"/>
        <w:spacing w:lineRule="auto" w:line="264" w:before="0" w:after="0"/>
        <w:ind w:firstLine="851"/>
        <w:contextualSpacing/>
        <w:rPr/>
      </w:pPr>
      <w:r>
        <w:rPr/>
        <w:t xml:space="preserve">Согласно </w:t>
      </w:r>
      <w:r>
        <w:rPr>
          <w:b/>
          <w:i/>
        </w:rPr>
        <w:t>Приложения А 10</w:t>
      </w:r>
      <w:r>
        <w:rPr>
          <w:i/>
        </w:rPr>
        <w:t xml:space="preserve"> (сведения взяты с электронного источника Министерство энергетики и жилищно-коммунального хозяйства Республики Мордовия)</w:t>
      </w:r>
      <w:r>
        <w:rPr/>
        <w:t xml:space="preserve">. </w:t>
      </w:r>
    </w:p>
    <w:p>
      <w:pPr>
        <w:pStyle w:val="S6"/>
        <w:spacing w:lineRule="auto" w:line="264" w:before="0" w:after="0"/>
        <w:ind w:firstLine="851"/>
        <w:contextualSpacing/>
        <w:rPr/>
      </w:pPr>
      <w:r>
        <w:rPr/>
        <w:t>На территории Татарско-Тавлинского сельского поселения отсутствуют необорудованные полигоны ТКО.</w:t>
      </w:r>
    </w:p>
    <w:p>
      <w:pPr>
        <w:pStyle w:val="S6"/>
        <w:spacing w:lineRule="auto" w:line="264" w:before="0" w:after="0"/>
        <w:ind w:firstLine="851"/>
        <w:contextualSpacing/>
        <w:rPr>
          <w:rStyle w:val="Grame"/>
        </w:rPr>
      </w:pPr>
      <w:r>
        <w:rPr>
          <w:rStyle w:val="Grame"/>
        </w:rPr>
        <w:t>На территории Татарско-Тавлинского сельского поселения имеются контейнеры в размере 16 шт.</w:t>
      </w:r>
    </w:p>
    <w:p>
      <w:pPr>
        <w:pStyle w:val="S6"/>
        <w:spacing w:lineRule="auto" w:line="276" w:before="0" w:after="0"/>
        <w:contextualSpacing/>
        <w:rPr>
          <w:rStyle w:val="Grame"/>
        </w:rPr>
      </w:pPr>
      <w:r>
        <w:rPr/>
      </w:r>
    </w:p>
    <w:p>
      <w:pPr>
        <w:pStyle w:val="Normal"/>
        <w:shd w:val="clear" w:color="auto" w:fill="FFFFFF"/>
        <w:spacing w:before="0" w:after="0"/>
        <w:ind w:firstLine="851"/>
        <w:contextualSpacing/>
        <w:jc w:val="both"/>
        <w:textAlignment w:val="baseline"/>
        <w:rPr>
          <w:rFonts w:ascii="Times New Roman" w:hAnsi="Times New Roman" w:eastAsia="Times New Roman" w:cs="Times New Roman"/>
          <w:i/>
          <w:i/>
        </w:rPr>
      </w:pPr>
      <w:r>
        <w:rPr>
          <w:rFonts w:eastAsia="Times New Roman" w:cs="Times New Roman" w:ascii="Times New Roman" w:hAnsi="Times New Roman"/>
          <w:i/>
        </w:rPr>
        <w:t>Таблица 2.6-2 Реестр мест накопления ТКО</w:t>
      </w:r>
    </w:p>
    <w:tbl>
      <w:tblPr>
        <w:tblStyle w:val="af5"/>
        <w:tblW w:w="9070" w:type="dxa"/>
        <w:jc w:val="center"/>
        <w:tblInd w:w="0" w:type="dxa"/>
        <w:tblCellMar>
          <w:top w:w="0" w:type="dxa"/>
          <w:left w:w="108" w:type="dxa"/>
          <w:bottom w:w="0" w:type="dxa"/>
          <w:right w:w="108" w:type="dxa"/>
        </w:tblCellMar>
        <w:tblLook w:firstRow="1" w:noVBand="1" w:lastRow="0" w:firstColumn="1" w:lastColumn="0" w:noHBand="0" w:val="04a0"/>
      </w:tblPr>
      <w:tblGrid>
        <w:gridCol w:w="845"/>
        <w:gridCol w:w="991"/>
        <w:gridCol w:w="2552"/>
        <w:gridCol w:w="1133"/>
        <w:gridCol w:w="708"/>
        <w:gridCol w:w="1275"/>
        <w:gridCol w:w="708"/>
        <w:gridCol w:w="857"/>
      </w:tblGrid>
      <w:tr>
        <w:trPr>
          <w:trHeight w:val="1997" w:hRule="atLeast"/>
          <w:cantSplit w:val="true"/>
        </w:trPr>
        <w:tc>
          <w:tcPr>
            <w:tcW w:w="845"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Муниципальное образование</w:t>
            </w:r>
          </w:p>
        </w:tc>
        <w:tc>
          <w:tcPr>
            <w:tcW w:w="991"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Населенный пункт</w:t>
            </w:r>
          </w:p>
        </w:tc>
        <w:tc>
          <w:tcPr>
            <w:tcW w:w="2552"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Fonts w:eastAsia="Times New Roman" w:cs="Times New Roman"/>
                <w:sz w:val="20"/>
                <w:szCs w:val="20"/>
              </w:rPr>
              <w:t>Адрес контейнерной площадки</w:t>
            </w:r>
          </w:p>
        </w:tc>
        <w:tc>
          <w:tcPr>
            <w:tcW w:w="1133" w:type="dxa"/>
            <w:tcBorders/>
            <w:shd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Style w:val="Grame"/>
                <w:rFonts w:eastAsia="Times New Roman" w:cs="Times New Roman"/>
                <w:sz w:val="20"/>
                <w:szCs w:val="20"/>
              </w:rPr>
              <w:t>Жилищно-эксплуатационная служба</w:t>
            </w:r>
          </w:p>
        </w:tc>
        <w:tc>
          <w:tcPr>
            <w:tcW w:w="708"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Style w:val="Grame"/>
                <w:rFonts w:eastAsia="Times New Roman" w:cs="Times New Roman"/>
                <w:sz w:val="20"/>
                <w:szCs w:val="20"/>
              </w:rPr>
              <w:t>Объем контейнера</w:t>
            </w:r>
          </w:p>
        </w:tc>
        <w:tc>
          <w:tcPr>
            <w:tcW w:w="1275"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Вид контейнера</w:t>
            </w:r>
          </w:p>
        </w:tc>
        <w:tc>
          <w:tcPr>
            <w:tcW w:w="708"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Вид отходов</w:t>
            </w:r>
          </w:p>
        </w:tc>
        <w:tc>
          <w:tcPr>
            <w:tcW w:w="857" w:type="dxa"/>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Количество контейнеров</w:t>
            </w:r>
          </w:p>
        </w:tc>
      </w:tr>
      <w:tr>
        <w:trPr>
          <w:trHeight w:val="547" w:hRule="atLeast"/>
          <w:cantSplit w:val="true"/>
        </w:trPr>
        <w:tc>
          <w:tcPr>
            <w:tcW w:w="845" w:type="dxa"/>
            <w:vMerge w:val="restart"/>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Style w:val="Grame"/>
                <w:rFonts w:eastAsia="Times New Roman" w:cs="Times New Roman"/>
                <w:sz w:val="20"/>
                <w:szCs w:val="20"/>
              </w:rPr>
              <w:t>Лямбирский р. н.</w:t>
            </w:r>
          </w:p>
        </w:tc>
        <w:tc>
          <w:tcPr>
            <w:tcW w:w="991" w:type="dxa"/>
            <w:vMerge w:val="restart"/>
            <w:tcBorders/>
            <w:shd w:color="auto" w:fill="auto" w:val="clear"/>
            <w:textDirection w:val="tbRl"/>
            <w:vAlign w:val="center"/>
          </w:tcPr>
          <w:p>
            <w:pPr>
              <w:pStyle w:val="Normal"/>
              <w:spacing w:lineRule="auto" w:line="216" w:before="0" w:after="200"/>
              <w:ind w:left="113" w:right="113" w:hanging="0"/>
              <w:contextualSpacing/>
              <w:jc w:val="center"/>
              <w:textAlignment w:val="baseline"/>
              <w:rPr>
                <w:rStyle w:val="Grame"/>
                <w:rFonts w:ascii="Times New Roman" w:hAnsi="Times New Roman"/>
              </w:rPr>
            </w:pPr>
            <w:r>
              <w:rPr>
                <w:rFonts w:eastAsia="Times New Roman" w:cs="Times New Roman"/>
                <w:sz w:val="20"/>
                <w:szCs w:val="20"/>
              </w:rPr>
              <w:t>с. Татарская Тавла</w:t>
            </w:r>
          </w:p>
        </w:tc>
        <w:tc>
          <w:tcPr>
            <w:tcW w:w="2552"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Fonts w:eastAsia="Times New Roman" w:cs="Times New Roman"/>
                <w:sz w:val="20"/>
                <w:szCs w:val="20"/>
              </w:rPr>
              <w:t>Ул. Демократическая (Демократическая – Совесткая перекресток)</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restart"/>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ТКО</w:t>
            </w:r>
          </w:p>
        </w:tc>
        <w:tc>
          <w:tcPr>
            <w:tcW w:w="857"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2</w:t>
            </w:r>
          </w:p>
        </w:tc>
      </w:tr>
      <w:tr>
        <w:trPr>
          <w:trHeight w:val="556"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Fonts w:eastAsia="Times New Roman" w:cs="Times New Roman"/>
                <w:color w:val="000000"/>
                <w:sz w:val="20"/>
                <w:szCs w:val="20"/>
              </w:rPr>
              <w:t>Ул. Демократическая дом № 110</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857"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3</w:t>
            </w:r>
          </w:p>
        </w:tc>
      </w:tr>
      <w:tr>
        <w:trPr>
          <w:trHeight w:val="471"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Fonts w:eastAsia="Times New Roman" w:cs="Times New Roman"/>
                <w:sz w:val="20"/>
                <w:szCs w:val="20"/>
              </w:rPr>
              <w:t>Ул. Пролетарская, дом № 114</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1</w:t>
            </w:r>
          </w:p>
        </w:tc>
      </w:tr>
      <w:tr>
        <w:trPr>
          <w:trHeight w:val="489"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Fonts w:eastAsia="Times New Roman" w:cs="Times New Roman"/>
                <w:sz w:val="20"/>
                <w:szCs w:val="20"/>
              </w:rPr>
              <w:t>Ул. Пролетарская, дом № 20</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2</w:t>
            </w:r>
          </w:p>
        </w:tc>
      </w:tr>
      <w:tr>
        <w:trPr>
          <w:trHeight w:val="556"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Fonts w:ascii="Times New Roman" w:hAnsi="Times New Roman"/>
              </w:rPr>
            </w:pPr>
            <w:r>
              <w:rPr>
                <w:rFonts w:eastAsia="Times New Roman" w:cs="Times New Roman" w:ascii="Times New Roman" w:hAnsi="Times New Roman"/>
                <w:sz w:val="20"/>
                <w:szCs w:val="20"/>
              </w:rPr>
              <w:t>Ул. Рабочая, дом № 2Г</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2</w:t>
            </w:r>
          </w:p>
        </w:tc>
      </w:tr>
      <w:tr>
        <w:trPr>
          <w:trHeight w:val="547"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Fonts w:ascii="Times New Roman" w:hAnsi="Times New Roman"/>
              </w:rPr>
            </w:pPr>
            <w:r>
              <w:rPr>
                <w:rFonts w:eastAsia="Times New Roman" w:cs="Times New Roman" w:ascii="Times New Roman" w:hAnsi="Times New Roman"/>
                <w:sz w:val="20"/>
                <w:szCs w:val="20"/>
              </w:rPr>
              <w:t>Ул. Советская, дом № 3</w:t>
            </w:r>
          </w:p>
        </w:tc>
        <w:tc>
          <w:tcPr>
            <w:tcW w:w="1133" w:type="dxa"/>
            <w:tcBorders/>
            <w:shd w:fill="auto" w:val="clear"/>
            <w:vAlign w:val="center"/>
          </w:tcPr>
          <w:p>
            <w:pPr>
              <w:pStyle w:val="Style46"/>
              <w:spacing w:lineRule="auto" w:line="216" w:before="0" w:after="0"/>
              <w:jc w:val="center"/>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1</w:t>
            </w:r>
          </w:p>
        </w:tc>
      </w:tr>
      <w:tr>
        <w:trPr>
          <w:trHeight w:val="711"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Fonts w:ascii="Times New Roman" w:hAnsi="Times New Roman"/>
              </w:rPr>
            </w:pPr>
            <w:r>
              <w:rPr>
                <w:rFonts w:eastAsia="Times New Roman" w:cs="Times New Roman" w:ascii="Times New Roman" w:hAnsi="Times New Roman"/>
                <w:sz w:val="20"/>
                <w:szCs w:val="20"/>
              </w:rPr>
              <w:t>Ул. Советская, дом № 63</w:t>
            </w:r>
          </w:p>
        </w:tc>
        <w:tc>
          <w:tcPr>
            <w:tcW w:w="1133" w:type="dxa"/>
            <w:tcBorders/>
            <w:shd w:fill="auto" w:val="clear"/>
          </w:tcPr>
          <w:p>
            <w:pPr>
              <w:pStyle w:val="Style46"/>
              <w:spacing w:lineRule="auto" w:line="216" w:before="0" w:after="0"/>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1</w:t>
            </w:r>
          </w:p>
        </w:tc>
      </w:tr>
      <w:tr>
        <w:trPr>
          <w:trHeight w:val="428"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Fonts w:ascii="Times New Roman" w:hAnsi="Times New Roman"/>
                <w:highlight w:val="magenta"/>
              </w:rPr>
            </w:pPr>
            <w:r>
              <w:rPr>
                <w:rFonts w:eastAsia="Times New Roman" w:cs="Times New Roman" w:ascii="Times New Roman" w:hAnsi="Times New Roman"/>
                <w:sz w:val="20"/>
                <w:szCs w:val="20"/>
              </w:rPr>
              <w:t xml:space="preserve">Ул. Ф.Секаева </w:t>
            </w:r>
          </w:p>
        </w:tc>
        <w:tc>
          <w:tcPr>
            <w:tcW w:w="1133" w:type="dxa"/>
            <w:tcBorders/>
            <w:shd w:fill="auto" w:val="clear"/>
          </w:tcPr>
          <w:p>
            <w:pPr>
              <w:pStyle w:val="Style46"/>
              <w:spacing w:lineRule="auto" w:line="216" w:before="0" w:after="0"/>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3</w:t>
            </w:r>
          </w:p>
        </w:tc>
      </w:tr>
      <w:tr>
        <w:trPr>
          <w:trHeight w:val="570" w:hRule="atLeast"/>
          <w:cantSplit w:val="true"/>
        </w:trPr>
        <w:tc>
          <w:tcPr>
            <w:tcW w:w="845"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991" w:type="dxa"/>
            <w:vMerge w:val="continue"/>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highlight w:val="magenta"/>
              </w:rPr>
            </w:r>
          </w:p>
        </w:tc>
        <w:tc>
          <w:tcPr>
            <w:tcW w:w="2552" w:type="dxa"/>
            <w:tcBorders/>
            <w:shd w:color="auto" w:fill="auto" w:val="clear"/>
            <w:vAlign w:val="center"/>
          </w:tcPr>
          <w:p>
            <w:pPr>
              <w:pStyle w:val="Normal"/>
              <w:spacing w:lineRule="auto" w:line="216" w:before="0" w:after="200"/>
              <w:contextualSpacing/>
              <w:jc w:val="center"/>
              <w:textAlignment w:val="baseline"/>
              <w:rPr>
                <w:rFonts w:ascii="Times New Roman" w:hAnsi="Times New Roman"/>
                <w:highlight w:val="magenta"/>
              </w:rPr>
            </w:pPr>
            <w:r>
              <w:rPr>
                <w:rFonts w:eastAsia="Times New Roman" w:cs="Times New Roman" w:ascii="Times New Roman" w:hAnsi="Times New Roman"/>
                <w:sz w:val="20"/>
                <w:szCs w:val="20"/>
              </w:rPr>
              <w:t>Ул. Школьная, дом № 36</w:t>
            </w:r>
          </w:p>
        </w:tc>
        <w:tc>
          <w:tcPr>
            <w:tcW w:w="1133" w:type="dxa"/>
            <w:tcBorders/>
            <w:shd w:fill="auto" w:val="clear"/>
          </w:tcPr>
          <w:p>
            <w:pPr>
              <w:pStyle w:val="Style46"/>
              <w:spacing w:lineRule="auto" w:line="216" w:before="0" w:after="0"/>
              <w:rPr>
                <w:rFonts w:ascii="Times New Roman" w:hAnsi="Times New Roman" w:cs="Times New Roman"/>
                <w:color w:val="000000"/>
                <w:szCs w:val="24"/>
              </w:rPr>
            </w:pPr>
            <w:r>
              <w:rPr>
                <w:rFonts w:eastAsia="Times New Roman" w:cs="Times New Roman" w:ascii="Times New Roman" w:hAnsi="Times New Roman"/>
                <w:color w:val="000000"/>
                <w:sz w:val="20"/>
                <w:szCs w:val="20"/>
              </w:rPr>
              <w:t>Частный сектор</w:t>
            </w:r>
          </w:p>
        </w:tc>
        <w:tc>
          <w:tcPr>
            <w:tcW w:w="708" w:type="dxa"/>
            <w:tcBorders/>
            <w:shd w:color="auto" w:fill="auto" w:val="clear"/>
            <w:vAlign w:val="center"/>
          </w:tcPr>
          <w:p>
            <w:pPr>
              <w:pStyle w:val="Normal"/>
              <w:spacing w:lineRule="auto" w:line="216" w:before="0" w:after="200"/>
              <w:contextualSpacing/>
              <w:jc w:val="center"/>
              <w:rPr>
                <w:rFonts w:ascii="Times New Roman" w:hAnsi="Times New Roman"/>
                <w:highlight w:val="magenta"/>
              </w:rPr>
            </w:pPr>
            <w:r>
              <w:rPr>
                <w:rFonts w:eastAsia="Times New Roman" w:cs="Times New Roman" w:ascii="Times New Roman" w:hAnsi="Times New Roman"/>
                <w:sz w:val="20"/>
                <w:szCs w:val="20"/>
              </w:rPr>
              <w:t>1.1</w:t>
            </w:r>
          </w:p>
        </w:tc>
        <w:tc>
          <w:tcPr>
            <w:tcW w:w="1275" w:type="dxa"/>
            <w:tcBorders/>
            <w:shd w:color="auto" w:fill="auto" w:val="clear"/>
            <w:vAlign w:val="center"/>
          </w:tcPr>
          <w:p>
            <w:pPr>
              <w:pStyle w:val="Normal"/>
              <w:spacing w:lineRule="auto" w:line="216" w:before="0" w:after="200"/>
              <w:contextualSpacing/>
              <w:jc w:val="center"/>
              <w:rPr>
                <w:rFonts w:ascii="Times New Roman" w:hAnsi="Times New Roman"/>
              </w:rPr>
            </w:pPr>
            <w:r>
              <w:rPr>
                <w:rFonts w:eastAsia="Times New Roman" w:cs="Times New Roman" w:ascii="Times New Roman" w:hAnsi="Times New Roman"/>
                <w:sz w:val="20"/>
                <w:szCs w:val="20"/>
              </w:rPr>
              <w:t>контейнер</w:t>
            </w:r>
          </w:p>
        </w:tc>
        <w:tc>
          <w:tcPr>
            <w:tcW w:w="708" w:type="dxa"/>
            <w:tcBorders/>
            <w:shd w:color="auto" w:fill="auto" w:val="clear"/>
            <w:vAlign w:val="center"/>
          </w:tcPr>
          <w:p>
            <w:pPr>
              <w:pStyle w:val="Normal"/>
              <w:spacing w:lineRule="auto" w:line="216" w:before="0" w:after="200"/>
              <w:contextualSpacing/>
              <w:jc w:val="center"/>
              <w:textAlignment w:val="baseline"/>
              <w:rPr>
                <w:rStyle w:val="Grame"/>
                <w:rFonts w:eastAsia="Times New Roman" w:cs="Times New Roman"/>
                <w:sz w:val="20"/>
                <w:szCs w:val="20"/>
              </w:rPr>
            </w:pPr>
            <w:r>
              <w:rPr>
                <w:rFonts w:ascii="Times New Roman" w:hAnsi="Times New Roman"/>
              </w:rPr>
            </w:r>
          </w:p>
        </w:tc>
        <w:tc>
          <w:tcPr>
            <w:tcW w:w="857" w:type="dxa"/>
            <w:tcBorders/>
            <w:shd w:color="auto" w:fill="auto" w:val="clear"/>
            <w:vAlign w:val="center"/>
          </w:tcPr>
          <w:p>
            <w:pPr>
              <w:pStyle w:val="Normal"/>
              <w:spacing w:lineRule="auto" w:line="216" w:before="0" w:after="200"/>
              <w:contextualSpacing/>
              <w:jc w:val="center"/>
              <w:textAlignment w:val="baseline"/>
              <w:rPr>
                <w:rStyle w:val="Grame"/>
                <w:rFonts w:ascii="Times New Roman" w:hAnsi="Times New Roman"/>
              </w:rPr>
            </w:pPr>
            <w:r>
              <w:rPr>
                <w:rStyle w:val="Grame"/>
                <w:rFonts w:eastAsia="Times New Roman" w:cs="Times New Roman"/>
                <w:sz w:val="20"/>
                <w:szCs w:val="20"/>
              </w:rPr>
              <w:t>1</w:t>
            </w:r>
          </w:p>
        </w:tc>
      </w:tr>
    </w:tbl>
    <w:p>
      <w:pPr>
        <w:pStyle w:val="Normal"/>
        <w:spacing w:before="0" w:after="0"/>
        <w:ind w:firstLine="993"/>
        <w:contextualSpacing/>
        <w:jc w:val="both"/>
        <w:rPr>
          <w:rFonts w:ascii="Times New Roman" w:hAnsi="Times New Roman" w:cs="Times New Roman"/>
        </w:rPr>
      </w:pPr>
      <w:r>
        <w:rPr>
          <w:rFonts w:cs="Times New Roman" w:ascii="Times New Roman" w:hAnsi="Times New Roman"/>
        </w:rPr>
      </w:r>
    </w:p>
    <w:p>
      <w:pPr>
        <w:pStyle w:val="Normal"/>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Согласно Схеме территориального планирования Республики Мордовия, утвержденной Постановлением № 74 от 29.01.2024 г. «О внесении изменений в Схему территориального планирования Республики Мордовия» на территории Татарско-Тавлинского сельского поселения имеется один скотомогильник.</w:t>
      </w:r>
    </w:p>
    <w:p>
      <w:pPr>
        <w:pStyle w:val="Normal"/>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Также согласно сведениям Государственного комитета по ветеринарии Республики Мордовия, на территории Татарско-Тавлинского сельского поселения скотомогильник ликвидирован.</w:t>
      </w:r>
    </w:p>
    <w:p>
      <w:pPr>
        <w:pStyle w:val="Normal"/>
        <w:spacing w:before="0" w:after="0"/>
        <w:ind w:firstLine="851"/>
        <w:contextualSpacing/>
        <w:jc w:val="both"/>
        <w:rPr>
          <w:rFonts w:ascii="Times New Roman" w:hAnsi="Times New Roman" w:cs="Times New Roman"/>
          <w:i/>
          <w:i/>
          <w:sz w:val="24"/>
          <w:szCs w:val="24"/>
        </w:rPr>
      </w:pPr>
      <w:r>
        <w:rPr>
          <w:rFonts w:cs="Times New Roman" w:ascii="Times New Roman" w:hAnsi="Times New Roman"/>
          <w:i/>
          <w:sz w:val="24"/>
          <w:szCs w:val="24"/>
        </w:rPr>
        <w:t>Таблица 2.6-3 Перечень скотомогильников (биотермических ям), в том числе сибиреязвенных на территории</w:t>
      </w:r>
    </w:p>
    <w:tbl>
      <w:tblPr>
        <w:tblW w:w="10060" w:type="dxa"/>
        <w:jc w:val="left"/>
        <w:tblInd w:w="94" w:type="dxa"/>
        <w:tblCellMar>
          <w:top w:w="0" w:type="dxa"/>
          <w:left w:w="108" w:type="dxa"/>
          <w:bottom w:w="0" w:type="dxa"/>
          <w:right w:w="108" w:type="dxa"/>
        </w:tblCellMar>
        <w:tblLook w:firstRow="1" w:noVBand="1" w:lastRow="0" w:firstColumn="1" w:lastColumn="0" w:noHBand="0" w:val="04a0"/>
      </w:tblPr>
      <w:tblGrid>
        <w:gridCol w:w="893"/>
        <w:gridCol w:w="992"/>
        <w:gridCol w:w="708"/>
        <w:gridCol w:w="707"/>
        <w:gridCol w:w="567"/>
        <w:gridCol w:w="566"/>
        <w:gridCol w:w="708"/>
        <w:gridCol w:w="708"/>
        <w:gridCol w:w="709"/>
        <w:gridCol w:w="849"/>
        <w:gridCol w:w="708"/>
        <w:gridCol w:w="566"/>
        <w:gridCol w:w="567"/>
        <w:gridCol w:w="811"/>
      </w:tblGrid>
      <w:tr>
        <w:trPr>
          <w:trHeight w:val="20" w:hRule="atLeast"/>
        </w:trPr>
        <w:tc>
          <w:tcPr>
            <w:tcW w:w="1885"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Местонахождение скотомогильника</w:t>
            </w:r>
          </w:p>
        </w:tc>
        <w:tc>
          <w:tcPr>
            <w:tcW w:w="708" w:type="dxa"/>
            <w:vMerge w:val="restart"/>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Наименование пункта нахождения скотомогильника (полностью)</w:t>
            </w:r>
          </w:p>
        </w:tc>
        <w:tc>
          <w:tcPr>
            <w:tcW w:w="707"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Тип скотомогильника (биотермическая яма, захоронение в земляную яму)</w:t>
            </w:r>
          </w:p>
        </w:tc>
        <w:tc>
          <w:tcPr>
            <w:tcW w:w="567"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Площадь скотомогильника (кв.м.)</w:t>
            </w:r>
          </w:p>
        </w:tc>
        <w:tc>
          <w:tcPr>
            <w:tcW w:w="566"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Количество биотермических ям</w:t>
            </w:r>
          </w:p>
        </w:tc>
        <w:tc>
          <w:tcPr>
            <w:tcW w:w="708"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Первое захоронение биологических отходов в скотомогильнике (год)</w:t>
            </w:r>
          </w:p>
        </w:tc>
        <w:tc>
          <w:tcPr>
            <w:tcW w:w="708"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Захоронение животных, павших от сибирской язвы (год)</w:t>
            </w:r>
          </w:p>
        </w:tc>
        <w:tc>
          <w:tcPr>
            <w:tcW w:w="709"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Статус  скотомогильника: «действующий» или «законсервированный»</w:t>
            </w:r>
          </w:p>
        </w:tc>
        <w:tc>
          <w:tcPr>
            <w:tcW w:w="849" w:type="dxa"/>
            <w:vMerge w:val="restart"/>
            <w:tcBorders>
              <w:top w:val="single" w:sz="4" w:space="0" w:color="000000"/>
              <w:left w:val="single" w:sz="4" w:space="0" w:color="000000"/>
              <w:bottom w:val="single" w:sz="4" w:space="0" w:color="000000"/>
              <w:right w:val="single" w:sz="4" w:space="0" w:color="000000"/>
            </w:tcBorders>
            <w:shd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Наличие основных элементов обустройства, (ограждение, оканавливание и др.) (есть/нет)</w:t>
            </w:r>
          </w:p>
        </w:tc>
        <w:tc>
          <w:tcPr>
            <w:tcW w:w="708" w:type="dxa"/>
            <w:vMerge w:val="restart"/>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Указать наименование собственника скотомогильника</w:t>
            </w:r>
          </w:p>
        </w:tc>
        <w:tc>
          <w:tcPr>
            <w:tcW w:w="566" w:type="dxa"/>
            <w:vMerge w:val="restart"/>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Широта</w:t>
            </w:r>
          </w:p>
        </w:tc>
        <w:tc>
          <w:tcPr>
            <w:tcW w:w="567" w:type="dxa"/>
            <w:vMerge w:val="restart"/>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Долгота</w:t>
            </w:r>
          </w:p>
        </w:tc>
        <w:tc>
          <w:tcPr>
            <w:tcW w:w="811" w:type="dxa"/>
            <w:vMerge w:val="restart"/>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Скотомогильник расположен в водоохранной зоне (да/нет)</w:t>
            </w:r>
          </w:p>
        </w:tc>
      </w:tr>
      <w:tr>
        <w:trPr>
          <w:trHeight w:val="1605" w:hRule="atLeast"/>
          <w:cantSplit w:val="true"/>
        </w:trPr>
        <w:tc>
          <w:tcPr>
            <w:tcW w:w="893" w:type="dxa"/>
            <w:tcBorders>
              <w:top w:val="single" w:sz="4" w:space="0" w:color="000000"/>
              <w:left w:val="single" w:sz="4" w:space="0" w:color="000000"/>
              <w:bottom w:val="single" w:sz="4" w:space="0" w:color="000000"/>
              <w:right w:val="single" w:sz="4" w:space="0" w:color="000000"/>
            </w:tcBorders>
            <w:shd w:color="auto" w:fill="auto" w:val="clear"/>
            <w:textDirection w:val="tbRl"/>
          </w:tcPr>
          <w:p>
            <w:pPr>
              <w:pStyle w:val="Normal"/>
              <w:tabs>
                <w:tab w:val="clear" w:pos="709"/>
                <w:tab w:val="left" w:pos="360" w:leader="none"/>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II уровень классификации</w:t>
            </w:r>
          </w:p>
        </w:tc>
        <w:tc>
          <w:tcPr>
            <w:tcW w:w="992"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360" w:leader="none"/>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III уровень классификации</w:t>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6"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9"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849"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6"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811"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r>
      <w:tr>
        <w:trPr>
          <w:trHeight w:val="1827" w:hRule="atLeast"/>
          <w:cantSplit w:val="true"/>
        </w:trPr>
        <w:tc>
          <w:tcPr>
            <w:tcW w:w="893"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360" w:leader="none"/>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район</w:t>
            </w:r>
          </w:p>
        </w:tc>
        <w:tc>
          <w:tcPr>
            <w:tcW w:w="992"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tabs>
                <w:tab w:val="clear" w:pos="709"/>
                <w:tab w:val="left" w:pos="360" w:leader="none"/>
                <w:tab w:val="left" w:pos="6901" w:leader="none"/>
              </w:tabs>
              <w:spacing w:lineRule="auto" w:line="240" w:before="0" w:after="0"/>
              <w:ind w:left="113" w:right="113" w:hanging="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t>Поселение</w:t>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6"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9"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849"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708"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6"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567"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c>
          <w:tcPr>
            <w:tcW w:w="811" w:type="dxa"/>
            <w:vMerge w:val="continue"/>
            <w:tcBorders>
              <w:top w:val="single" w:sz="4" w:space="0" w:color="000000"/>
              <w:left w:val="single" w:sz="4" w:space="0" w:color="000000"/>
              <w:bottom w:val="single" w:sz="4" w:space="0" w:color="000000"/>
              <w:right w:val="single" w:sz="4" w:space="0" w:color="000000"/>
            </w:tcBorders>
            <w:shd w:fill="auto" w:val="clear"/>
            <w:vAlign w:val="center"/>
          </w:tcPr>
          <w:p>
            <w:pPr>
              <w:pStyle w:val="Normal"/>
              <w:tabs>
                <w:tab w:val="clear" w:pos="709"/>
                <w:tab w:val="left" w:pos="6901" w:leader="none"/>
              </w:tabs>
              <w:spacing w:lineRule="auto" w:line="240" w:before="0" w:after="0"/>
              <w:contextualSpacing/>
              <w:jc w:val="center"/>
              <w:rPr>
                <w:rFonts w:ascii="Times New Roman" w:hAnsi="Times New Roman" w:eastAsia="TimesNewRoman" w:cs="Times New Roman"/>
                <w:sz w:val="20"/>
                <w:szCs w:val="20"/>
                <w:lang w:eastAsia="en-US"/>
              </w:rPr>
            </w:pPr>
            <w:r>
              <w:rPr>
                <w:rFonts w:eastAsia="TimesNewRoman" w:cs="Times New Roman" w:ascii="Times New Roman" w:hAnsi="Times New Roman"/>
                <w:sz w:val="20"/>
                <w:szCs w:val="20"/>
                <w:lang w:eastAsia="en-US"/>
              </w:rPr>
            </w:r>
          </w:p>
        </w:tc>
      </w:tr>
      <w:tr>
        <w:trPr>
          <w:trHeight w:val="1663" w:hRule="atLeast"/>
          <w:cantSplit w:val="true"/>
        </w:trPr>
        <w:tc>
          <w:tcPr>
            <w:tcW w:w="893"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Лямбирский</w:t>
            </w:r>
          </w:p>
        </w:tc>
        <w:tc>
          <w:tcPr>
            <w:tcW w:w="992"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Татарско-Тавлинское</w:t>
            </w:r>
          </w:p>
        </w:tc>
        <w:tc>
          <w:tcPr>
            <w:tcW w:w="708"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село Татарская Тавла</w:t>
            </w:r>
          </w:p>
        </w:tc>
        <w:tc>
          <w:tcPr>
            <w:tcW w:w="707"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захоронение в земляную яму</w:t>
            </w:r>
          </w:p>
        </w:tc>
        <w:tc>
          <w:tcPr>
            <w:tcW w:w="567"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150</w:t>
            </w:r>
          </w:p>
        </w:tc>
        <w:tc>
          <w:tcPr>
            <w:tcW w:w="566"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0</w:t>
            </w:r>
          </w:p>
        </w:tc>
        <w:tc>
          <w:tcPr>
            <w:tcW w:w="708"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год неизвестен</w:t>
            </w:r>
          </w:p>
        </w:tc>
        <w:tc>
          <w:tcPr>
            <w:tcW w:w="708"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1949, 1962</w:t>
            </w:r>
          </w:p>
        </w:tc>
        <w:tc>
          <w:tcPr>
            <w:tcW w:w="709"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законсервированный</w:t>
            </w:r>
          </w:p>
        </w:tc>
        <w:tc>
          <w:tcPr>
            <w:tcW w:w="849"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нет</w:t>
            </w:r>
          </w:p>
        </w:tc>
        <w:tc>
          <w:tcPr>
            <w:tcW w:w="708"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нет</w:t>
            </w:r>
          </w:p>
        </w:tc>
        <w:tc>
          <w:tcPr>
            <w:tcW w:w="566"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54.215209</w:t>
            </w:r>
          </w:p>
        </w:tc>
        <w:tc>
          <w:tcPr>
            <w:tcW w:w="567"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45.342472</w:t>
            </w:r>
          </w:p>
        </w:tc>
        <w:tc>
          <w:tcPr>
            <w:tcW w:w="811" w:type="dxa"/>
            <w:tcBorders>
              <w:top w:val="single" w:sz="4" w:space="0" w:color="000000"/>
              <w:left w:val="single" w:sz="4" w:space="0" w:color="000000"/>
              <w:bottom w:val="single" w:sz="4" w:space="0" w:color="000000"/>
              <w:right w:val="single" w:sz="4" w:space="0" w:color="000000"/>
            </w:tcBorders>
            <w:shd w:color="auto" w:fill="auto" w:val="clear"/>
            <w:textDirection w:val="tbRl"/>
            <w:vAlign w:val="center"/>
          </w:tcPr>
          <w:p>
            <w:pPr>
              <w:pStyle w:val="Normal"/>
              <w:spacing w:lineRule="auto" w:line="240" w:before="0" w:after="0"/>
              <w:ind w:left="113" w:right="113" w:hanging="0"/>
              <w:contextualSpacing/>
              <w:jc w:val="center"/>
              <w:rPr>
                <w:rFonts w:ascii="Times New Roman" w:hAnsi="Times New Roman" w:cs="Times New Roman"/>
                <w:sz w:val="20"/>
                <w:szCs w:val="20"/>
              </w:rPr>
            </w:pPr>
            <w:r>
              <w:rPr>
                <w:rFonts w:cs="Times New Roman" w:ascii="Times New Roman" w:hAnsi="Times New Roman"/>
                <w:sz w:val="20"/>
                <w:szCs w:val="20"/>
              </w:rPr>
              <w:t>нет</w:t>
            </w:r>
          </w:p>
        </w:tc>
      </w:tr>
    </w:tbl>
    <w:p>
      <w:pPr>
        <w:pStyle w:val="Normal"/>
        <w:spacing w:before="0" w:after="0"/>
        <w:ind w:firstLine="851"/>
        <w:contextualSpacing/>
        <w:jc w:val="both"/>
        <w:rPr>
          <w:rFonts w:ascii="Times New Roman" w:hAnsi="Times New Roman" w:cs="Times New Roman"/>
          <w:i/>
          <w:i/>
          <w:sz w:val="24"/>
          <w:szCs w:val="24"/>
        </w:rPr>
      </w:pPr>
      <w:r>
        <w:rPr>
          <w:rFonts w:cs="Times New Roman" w:ascii="Times New Roman" w:hAnsi="Times New Roman"/>
          <w:i/>
          <w:sz w:val="24"/>
          <w:szCs w:val="24"/>
        </w:rPr>
      </w:r>
    </w:p>
    <w:p>
      <w:pPr>
        <w:pStyle w:val="Normal"/>
        <w:spacing w:before="0" w:after="0"/>
        <w:ind w:firstLine="993"/>
        <w:contextualSpacing/>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993"/>
        <w:contextualSpacing/>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2.7 Зоны с особыми условиями использования территории</w:t>
      </w:r>
    </w:p>
    <w:p>
      <w:pPr>
        <w:pStyle w:val="Normal"/>
        <w:widowControl w:val="false"/>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РФ. (п.4 ст. 1 Гр. К.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pPr>
        <w:pStyle w:val="Normal"/>
        <w:widowControl w:val="false"/>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 xml:space="preserve">Границы указанных территорий определяются в соответствии с законодательством Российской Федерации, Республики Мордовия и местных нормативных актов. </w:t>
      </w:r>
    </w:p>
    <w:p>
      <w:pPr>
        <w:pStyle w:val="Normal"/>
        <w:widowControl w:val="false"/>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На картах материалов по обоснованию генерального плана показаны существующие (утвержденные) зоны с особыми условиями использования территории и ориентировочные, согласно ранее утвержденного генерального плана:</w:t>
      </w:r>
    </w:p>
    <w:p>
      <w:pPr>
        <w:pStyle w:val="ListParagraph"/>
        <w:widowControl w:val="false"/>
        <w:numPr>
          <w:ilvl w:val="0"/>
          <w:numId w:val="4"/>
        </w:numPr>
        <w:spacing w:before="0" w:after="0"/>
        <w:ind w:left="0" w:firstLine="851"/>
        <w:contextualSpacing/>
        <w:jc w:val="both"/>
        <w:rPr>
          <w:rFonts w:ascii="Times New Roman" w:hAnsi="Times New Roman"/>
          <w:sz w:val="24"/>
          <w:szCs w:val="24"/>
        </w:rPr>
      </w:pPr>
      <w:r>
        <w:rPr>
          <w:rFonts w:ascii="Times New Roman" w:hAnsi="Times New Roman"/>
          <w:sz w:val="24"/>
          <w:szCs w:val="24"/>
        </w:rPr>
        <w:t>Охранная зона инженерных коммуникаций (охранная зона газопроводов и систем газоснабжения, охранная зона объектов электросетевого хозяйства, охранная зона линий и сооружений связи);</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Санитарный разрыв магистральных трубопроводов углеводородного сырья;</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Водоохранная зона;</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Прибрежные защитные полосы;</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Иные зоны с особыми условиями использования (придорожная полоса);</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Зоны санитарной охраны источников питьевого и хозяйственно-бытового водоснабжения и водопроводов питьевого назначения;</w:t>
      </w:r>
    </w:p>
    <w:p>
      <w:pPr>
        <w:pStyle w:val="ListParagraph"/>
        <w:widowControl w:val="false"/>
        <w:numPr>
          <w:ilvl w:val="0"/>
          <w:numId w:val="5"/>
        </w:numPr>
        <w:spacing w:before="0" w:after="0"/>
        <w:ind w:left="0" w:firstLine="851"/>
        <w:contextualSpacing/>
        <w:jc w:val="both"/>
        <w:rPr>
          <w:rFonts w:ascii="Times New Roman" w:hAnsi="Times New Roman"/>
          <w:sz w:val="24"/>
          <w:szCs w:val="24"/>
        </w:rPr>
      </w:pPr>
      <w:r>
        <w:rPr>
          <w:rFonts w:ascii="Times New Roman" w:hAnsi="Times New Roman"/>
          <w:sz w:val="24"/>
          <w:szCs w:val="24"/>
        </w:rPr>
        <w:t>Санитарно-защитная зона (ориентировочные).</w:t>
      </w:r>
    </w:p>
    <w:p>
      <w:pPr>
        <w:pStyle w:val="Normal"/>
        <w:widowControl w:val="false"/>
        <w:spacing w:before="0" w:after="0"/>
        <w:ind w:firstLine="993"/>
        <w:contextualSpacing/>
        <w:jc w:val="both"/>
        <w:rPr>
          <w:rFonts w:ascii="Times New Roman" w:hAnsi="Times New Roman" w:cs="Times New Roman"/>
          <w:sz w:val="24"/>
          <w:szCs w:val="24"/>
        </w:rPr>
      </w:pPr>
      <w:r>
        <w:rPr>
          <w:rFonts w:cs="Times New Roman" w:ascii="Times New Roman" w:hAnsi="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pPr>
        <w:pStyle w:val="Normal"/>
        <w:widowControl w:val="false"/>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Согласно Приказу Росавиации от 19.03.2024 № 279-П «Об установлении приаэродромной территории аэродрома гражданской авиации Саранск», Татарско-Тавлинское сельское поселение находится в границах приаэродромной территории г.о. Саранск и имеет реестровый номер 13:00-6.627 (рисунок 1).</w:t>
      </w:r>
    </w:p>
    <w:p>
      <w:pPr>
        <w:pStyle w:val="Normal"/>
        <w:widowControl w:val="false"/>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widowControl w:val="false"/>
        <w:spacing w:before="0" w:after="0"/>
        <w:contextualSpacing/>
        <w:jc w:val="center"/>
        <w:rPr>
          <w:rFonts w:ascii="Times New Roman" w:hAnsi="Times New Roman" w:cs="Times New Roman"/>
          <w:sz w:val="24"/>
          <w:szCs w:val="24"/>
          <w:lang w:val="en-US"/>
        </w:rPr>
      </w:pPr>
      <w:r>
        <w:rPr/>
        <mc:AlternateContent>
          <mc:Choice Requires="wps">
            <w:drawing>
              <wp:inline distT="0" distB="0" distL="0" distR="0">
                <wp:extent cx="6959600" cy="5815330"/>
                <wp:effectExtent l="635" t="0" r="0" b="0"/>
                <wp:docPr id="2" name="2024-06-11_12-27-11.png"/>
                <a:graphic xmlns:a="http://schemas.openxmlformats.org/drawingml/2006/main">
                  <a:graphicData uri="http://schemas.openxmlformats.org/drawingml/2006/picture">
                    <pic:pic xmlns:pic="http://schemas.openxmlformats.org/drawingml/2006/picture">
                      <pic:nvPicPr>
                        <pic:cNvPr id="0" name="2024-06-11_12-27-11.png" descr=""/>
                        <pic:cNvPicPr/>
                      </pic:nvPicPr>
                      <pic:blipFill>
                        <a:blip r:embed="rId3"/>
                        <a:stretch/>
                      </pic:blipFill>
                      <pic:spPr>
                        <a:xfrm rot="5400000">
                          <a:off x="0" y="0"/>
                          <a:ext cx="6958800" cy="5814720"/>
                        </a:xfrm>
                        <a:prstGeom prst="rect">
                          <a:avLst/>
                        </a:prstGeom>
                        <a:ln>
                          <a:noFill/>
                        </a:ln>
                      </pic:spPr>
                    </pic:pic>
                  </a:graphicData>
                </a:graphic>
              </wp:inline>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2024-06-11_12-27-11.png" stroked="f" style="position:absolute;margin-left:-45pt;margin-top:-502.95pt;width:547.9pt;height:457.8pt;rotation:90;mso-position-vertical:top" type="shapetype_75">
                <v:imagedata r:id="rId3" o:detectmouseclick="t"/>
                <w10:wrap type="none"/>
                <v:stroke color="#3465a4" joinstyle="round" endcap="flat"/>
              </v:shape>
            </w:pict>
          </mc:Fallback>
        </mc:AlternateContent>
      </w:r>
    </w:p>
    <w:p>
      <w:pPr>
        <w:pStyle w:val="Normal"/>
        <w:spacing w:before="0" w:after="0"/>
        <w:ind w:firstLine="851"/>
        <w:contextualSpacing/>
        <w:jc w:val="both"/>
        <w:rPr>
          <w:rFonts w:ascii="Times New Roman" w:hAnsi="Times New Roman" w:cs="Times New Roman"/>
          <w:b/>
          <w:b/>
          <w:bCs/>
          <w:color w:val="365F91" w:themeColor="accent1" w:themeShade="bf"/>
          <w:sz w:val="24"/>
          <w:szCs w:val="28"/>
        </w:rPr>
      </w:pPr>
      <w:r>
        <w:rPr>
          <w:rFonts w:cs="Times New Roman" w:ascii="Times New Roman" w:hAnsi="Times New Roman"/>
          <w:b/>
          <w:bCs/>
          <w:color w:val="365F91" w:themeColor="accent1" w:themeShade="bf"/>
          <w:sz w:val="24"/>
          <w:szCs w:val="28"/>
        </w:rPr>
      </w:r>
    </w:p>
    <w:p>
      <w:pPr>
        <w:pStyle w:val="Normal"/>
        <w:spacing w:before="0" w:after="0"/>
        <w:contextualSpacing/>
        <w:jc w:val="center"/>
        <w:rPr>
          <w:rFonts w:ascii="Times New Roman" w:hAnsi="Times New Roman" w:cs="Times New Roman"/>
          <w:bCs/>
          <w:color w:val="000000" w:themeColor="text1"/>
          <w:sz w:val="24"/>
          <w:szCs w:val="28"/>
        </w:rPr>
      </w:pPr>
      <w:r>
        <w:rPr>
          <w:rFonts w:cs="Times New Roman" w:ascii="Times New Roman" w:hAnsi="Times New Roman"/>
          <w:bCs/>
          <w:color w:val="000000" w:themeColor="text1"/>
          <w:sz w:val="24"/>
          <w:szCs w:val="28"/>
        </w:rPr>
        <w:t>Рисунок 1 – Схема границ приаэродромной территории аэродрома гражданской авиации Саранск</w:t>
      </w:r>
    </w:p>
    <w:p>
      <w:pPr>
        <w:pStyle w:val="Normal"/>
        <w:spacing w:before="0" w:after="0"/>
        <w:contextualSpacing/>
        <w:jc w:val="center"/>
        <w:rPr>
          <w:rFonts w:ascii="Times New Roman" w:hAnsi="Times New Roman" w:cs="Times New Roman"/>
          <w:bCs/>
          <w:color w:val="000000" w:themeColor="text1"/>
          <w:sz w:val="24"/>
          <w:szCs w:val="28"/>
        </w:rPr>
      </w:pPr>
      <w:r>
        <w:rPr>
          <w:rFonts w:cs="Times New Roman" w:ascii="Times New Roman" w:hAnsi="Times New Roman"/>
          <w:bCs/>
          <w:color w:val="000000" w:themeColor="text1"/>
          <w:sz w:val="24"/>
          <w:szCs w:val="28"/>
        </w:rPr>
      </w:r>
    </w:p>
    <w:p>
      <w:pPr>
        <w:pStyle w:val="Normal"/>
        <w:spacing w:before="0" w:after="0"/>
        <w:ind w:firstLine="851"/>
        <w:contextualSpacing/>
        <w:jc w:val="both"/>
        <w:rPr>
          <w:rFonts w:ascii="Times New Roman" w:hAnsi="Times New Roman" w:cs="Times New Roman"/>
          <w:b/>
          <w:b/>
          <w:bCs/>
          <w:color w:val="365F91" w:themeColor="accent1" w:themeShade="bf"/>
          <w:sz w:val="24"/>
          <w:szCs w:val="28"/>
        </w:rPr>
      </w:pPr>
      <w:r>
        <w:rPr>
          <w:rFonts w:cs="Times New Roman" w:ascii="Times New Roman" w:hAnsi="Times New Roman"/>
          <w:b/>
          <w:bCs/>
          <w:color w:val="365F91" w:themeColor="accent1" w:themeShade="bf"/>
          <w:sz w:val="24"/>
          <w:szCs w:val="28"/>
        </w:rPr>
        <w:t>2.8 Территории объектов культурного наследия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Федеральный закон от 25.06.2002 г. №73-ФЗ «Об объектах культурного наследия (памятниках истории и культуры) народов Российской Федерации»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Согласно Федерального закона от 25.06.2002 г. №73-ФЗ:</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3. Границы защитной зоны объекта культурного наследия устанавливаются: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5. Региональный орган   охраны   объектов   культурного   наследия   вправе   принять</w:t>
      </w:r>
    </w:p>
    <w:p>
      <w:pPr>
        <w:pStyle w:val="Normal"/>
        <w:spacing w:before="0" w:after="0"/>
        <w:contextualSpacing/>
        <w:jc w:val="both"/>
        <w:rPr>
          <w:rFonts w:ascii="Times New Roman" w:hAnsi="Times New Roman" w:cs="Times New Roman"/>
          <w:bCs/>
          <w:sz w:val="24"/>
          <w:szCs w:val="28"/>
        </w:rPr>
      </w:pPr>
      <w:r>
        <w:rPr>
          <w:rFonts w:cs="Times New Roman" w:ascii="Times New Roman" w:hAnsi="Times New Roman"/>
          <w:bCs/>
          <w:sz w:val="24"/>
          <w:szCs w:val="28"/>
        </w:rPr>
        <w:t>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t>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Республики Мордовия.</w:t>
      </w:r>
    </w:p>
    <w:p>
      <w:pPr>
        <w:pStyle w:val="Normal"/>
        <w:spacing w:before="0" w:after="0"/>
        <w:ind w:firstLine="851"/>
        <w:contextualSpacing/>
        <w:jc w:val="both"/>
        <w:rPr>
          <w:rFonts w:ascii="Times New Roman" w:hAnsi="Times New Roman" w:cs="Times New Roman"/>
          <w:bCs/>
          <w:sz w:val="24"/>
          <w:szCs w:val="28"/>
        </w:rPr>
      </w:pPr>
      <w:r>
        <w:rPr>
          <w:rFonts w:cs="Times New Roman" w:ascii="Times New Roman" w:hAnsi="Times New Roman"/>
          <w:bCs/>
          <w:sz w:val="24"/>
          <w:szCs w:val="28"/>
        </w:rPr>
      </w:r>
    </w:p>
    <w:p>
      <w:pPr>
        <w:pStyle w:val="Normal"/>
        <w:spacing w:before="0" w:after="0"/>
        <w:ind w:firstLine="851"/>
        <w:contextualSpacing/>
        <w:jc w:val="both"/>
        <w:rPr>
          <w:rFonts w:ascii="Times New Roman" w:hAnsi="Times New Roman" w:cs="Times New Roman"/>
          <w:bCs/>
          <w:i/>
          <w:i/>
          <w:sz w:val="24"/>
          <w:szCs w:val="28"/>
        </w:rPr>
      </w:pPr>
      <w:r>
        <w:rPr>
          <w:rFonts w:cs="Times New Roman" w:ascii="Times New Roman" w:hAnsi="Times New Roman"/>
          <w:bCs/>
          <w:i/>
          <w:sz w:val="24"/>
          <w:szCs w:val="28"/>
        </w:rPr>
        <w:t>Таблица 2.8-1 Перечень объектов культурного наследия расположенных на территории Татарско-Тавлинского сельского поселения</w:t>
      </w:r>
    </w:p>
    <w:tbl>
      <w:tblPr>
        <w:tblW w:w="9776" w:type="dxa"/>
        <w:jc w:val="left"/>
        <w:tblInd w:w="93" w:type="dxa"/>
        <w:tblCellMar>
          <w:top w:w="0" w:type="dxa"/>
          <w:left w:w="108" w:type="dxa"/>
          <w:bottom w:w="0" w:type="dxa"/>
          <w:right w:w="108" w:type="dxa"/>
        </w:tblCellMar>
        <w:tblLook w:firstRow="1" w:noVBand="1" w:lastRow="0" w:firstColumn="1" w:lastColumn="0" w:noHBand="0" w:val="04a0"/>
      </w:tblPr>
      <w:tblGrid>
        <w:gridCol w:w="620"/>
        <w:gridCol w:w="1173"/>
        <w:gridCol w:w="2664"/>
        <w:gridCol w:w="3080"/>
        <w:gridCol w:w="2239"/>
      </w:tblGrid>
      <w:tr>
        <w:trPr>
          <w:trHeight w:val="2423" w:hRule="atLeast"/>
        </w:trPr>
        <w:tc>
          <w:tcPr>
            <w:tcW w:w="62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rPr>
                <w:rFonts w:ascii="Times New Roman" w:hAnsi="Times New Roman" w:eastAsia="Times New Roman" w:cs="Times New Roman"/>
                <w:b/>
                <w:b/>
                <w:color w:val="000000"/>
                <w:sz w:val="20"/>
                <w:szCs w:val="20"/>
              </w:rPr>
            </w:pPr>
            <w:r>
              <w:rPr>
                <w:rFonts w:eastAsia="Times New Roman" w:cs="Times New Roman" w:ascii="Times New Roman" w:hAnsi="Times New Roman"/>
                <w:b/>
                <w:color w:val="000000"/>
                <w:sz w:val="20"/>
                <w:szCs w:val="20"/>
              </w:rPr>
              <w:t xml:space="preserve">№ </w:t>
            </w:r>
            <w:r>
              <w:rPr>
                <w:rFonts w:eastAsia="Times New Roman" w:cs="Times New Roman" w:ascii="Times New Roman" w:hAnsi="Times New Roman"/>
                <w:b/>
                <w:color w:val="000000"/>
                <w:sz w:val="20"/>
                <w:szCs w:val="20"/>
              </w:rPr>
              <w:t>п/п</w:t>
            </w:r>
          </w:p>
        </w:tc>
        <w:tc>
          <w:tcPr>
            <w:tcW w:w="11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eastAsia="Times New Roman" w:cs="Times New Roman"/>
                <w:b/>
                <w:b/>
                <w:color w:val="000000"/>
                <w:sz w:val="20"/>
                <w:szCs w:val="20"/>
              </w:rPr>
            </w:pPr>
            <w:r>
              <w:rPr>
                <w:rFonts w:eastAsia="Times New Roman" w:cs="Times New Roman" w:ascii="Times New Roman" w:hAnsi="Times New Roman"/>
                <w:b/>
                <w:color w:val="000000"/>
                <w:sz w:val="20"/>
                <w:szCs w:val="20"/>
              </w:rPr>
              <w:t>Категория</w:t>
            </w:r>
          </w:p>
        </w:tc>
        <w:tc>
          <w:tcPr>
            <w:tcW w:w="266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eastAsia="Times New Roman" w:cs="Times New Roman"/>
                <w:b/>
                <w:b/>
                <w:color w:val="000000"/>
                <w:sz w:val="20"/>
                <w:szCs w:val="20"/>
              </w:rPr>
            </w:pPr>
            <w:r>
              <w:rPr>
                <w:rFonts w:eastAsia="Times New Roman" w:cs="Times New Roman" w:ascii="Times New Roman" w:hAnsi="Times New Roman"/>
                <w:b/>
                <w:color w:val="000000"/>
                <w:sz w:val="20"/>
                <w:szCs w:val="20"/>
              </w:rPr>
              <w:t>Наименование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308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eastAsia="Times New Roman" w:cs="Times New Roman"/>
                <w:b/>
                <w:b/>
                <w:color w:val="000000"/>
                <w:sz w:val="20"/>
                <w:szCs w:val="20"/>
              </w:rPr>
            </w:pPr>
            <w:r>
              <w:rPr>
                <w:rFonts w:eastAsia="Times New Roman" w:cs="Times New Roman" w:ascii="Times New Roman" w:hAnsi="Times New Roman"/>
                <w:b/>
                <w:color w:val="000000"/>
                <w:sz w:val="20"/>
                <w:szCs w:val="20"/>
              </w:rPr>
              <w:t xml:space="preserve">Наименование и реквизиты нормативно-правового акта органа государственной власти о постановке объекта культурного наследия на государственную охрану </w:t>
            </w:r>
          </w:p>
        </w:tc>
        <w:tc>
          <w:tcPr>
            <w:tcW w:w="22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eastAsia="Times New Roman" w:cs="Times New Roman"/>
                <w:b/>
                <w:b/>
                <w:color w:val="000000"/>
                <w:sz w:val="20"/>
                <w:szCs w:val="20"/>
              </w:rPr>
            </w:pPr>
            <w:r>
              <w:rPr>
                <w:rFonts w:eastAsia="Times New Roman" w:cs="Times New Roman" w:ascii="Times New Roman" w:hAnsi="Times New Roman"/>
                <w:b/>
                <w:color w:val="000000"/>
                <w:sz w:val="20"/>
                <w:szCs w:val="20"/>
              </w:rPr>
              <w:t>Местонахождение объекта культурного наследия (в соответствии с данными органов технической инвентаризации)</w:t>
            </w:r>
          </w:p>
        </w:tc>
      </w:tr>
      <w:tr>
        <w:trPr>
          <w:trHeight w:val="788" w:hRule="atLeast"/>
        </w:trPr>
        <w:tc>
          <w:tcPr>
            <w:tcW w:w="62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rPr>
                <w:rFonts w:ascii="Times New Roman" w:hAnsi="Times New Roman" w:eastAsia="Times New Roman" w:cs="Times New Roman"/>
                <w:color w:val="000000"/>
                <w:sz w:val="20"/>
                <w:szCs w:val="20"/>
              </w:rPr>
            </w:pPr>
            <w:r>
              <w:rPr>
                <w:rFonts w:eastAsia="Times New Roman" w:cs="Times New Roman" w:ascii="Times New Roman" w:hAnsi="Times New Roman"/>
                <w:color w:val="000000"/>
                <w:sz w:val="20"/>
                <w:szCs w:val="20"/>
              </w:rPr>
              <w:t>1</w:t>
            </w:r>
          </w:p>
        </w:tc>
        <w:tc>
          <w:tcPr>
            <w:tcW w:w="1173"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cs="Times New Roman"/>
                <w:color w:val="000000"/>
                <w:sz w:val="20"/>
                <w:szCs w:val="20"/>
              </w:rPr>
            </w:pPr>
            <w:r>
              <w:rPr>
                <w:rFonts w:cs="Times New Roman" w:ascii="Times New Roman" w:hAnsi="Times New Roman"/>
                <w:color w:val="000000"/>
                <w:sz w:val="20"/>
                <w:szCs w:val="20"/>
              </w:rPr>
              <w:t>Местн.</w:t>
            </w:r>
          </w:p>
        </w:tc>
        <w:tc>
          <w:tcPr>
            <w:tcW w:w="2664"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cs="Times New Roman"/>
                <w:color w:val="000000"/>
                <w:sz w:val="20"/>
                <w:szCs w:val="20"/>
              </w:rPr>
            </w:pPr>
            <w:r>
              <w:rPr>
                <w:rFonts w:cs="Times New Roman" w:ascii="Times New Roman" w:hAnsi="Times New Roman"/>
                <w:color w:val="000000"/>
                <w:sz w:val="20"/>
                <w:szCs w:val="20"/>
              </w:rPr>
              <w:t xml:space="preserve"> </w:t>
            </w:r>
            <w:r>
              <w:rPr>
                <w:rFonts w:cs="Times New Roman" w:ascii="Times New Roman" w:hAnsi="Times New Roman"/>
                <w:color w:val="000000"/>
                <w:sz w:val="20"/>
                <w:szCs w:val="20"/>
              </w:rPr>
              <w:t>«Памятник павшим воинам в Великой Отечественной войне»</w:t>
            </w:r>
          </w:p>
        </w:tc>
        <w:tc>
          <w:tcPr>
            <w:tcW w:w="3080"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cs="Times New Roman"/>
                <w:color w:val="000000"/>
                <w:sz w:val="20"/>
                <w:szCs w:val="20"/>
              </w:rPr>
            </w:pPr>
            <w:r>
              <w:rPr>
                <w:rFonts w:cs="Times New Roman" w:ascii="Times New Roman" w:hAnsi="Times New Roman"/>
                <w:color w:val="000000"/>
                <w:sz w:val="20"/>
                <w:szCs w:val="20"/>
              </w:rPr>
              <w:t>-</w:t>
            </w:r>
          </w:p>
        </w:tc>
        <w:tc>
          <w:tcPr>
            <w:tcW w:w="2239"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lineRule="auto" w:line="240" w:before="0" w:after="0"/>
              <w:contextualSpacing/>
              <w:jc w:val="center"/>
              <w:rPr>
                <w:rFonts w:ascii="Times New Roman" w:hAnsi="Times New Roman" w:cs="Times New Roman"/>
                <w:color w:val="000000"/>
                <w:sz w:val="20"/>
                <w:szCs w:val="20"/>
              </w:rPr>
            </w:pPr>
            <w:r>
              <w:rPr>
                <w:rFonts w:cs="Times New Roman" w:ascii="Times New Roman" w:hAnsi="Times New Roman"/>
                <w:color w:val="000000"/>
                <w:sz w:val="20"/>
                <w:szCs w:val="20"/>
              </w:rPr>
              <w:t>Республика Мордовия, Лямбирский район, с. Татарская Тавла</w:t>
            </w:r>
          </w:p>
        </w:tc>
      </w:tr>
    </w:tbl>
    <w:p>
      <w:pPr>
        <w:pStyle w:val="Normal"/>
        <w:spacing w:before="0" w:after="0"/>
        <w:ind w:firstLine="851"/>
        <w:contextualSpacing/>
        <w:rPr>
          <w:rFonts w:ascii="Times New Roman" w:hAnsi="Times New Roman" w:eastAsia="" w:cs="Times New Roman" w:eastAsiaTheme="majorEastAsia"/>
          <w:b/>
          <w:b/>
          <w:bCs/>
          <w:color w:val="365F91" w:themeColor="accent1" w:themeShade="bf"/>
          <w:sz w:val="24"/>
          <w:szCs w:val="24"/>
        </w:rPr>
      </w:pPr>
      <w:r>
        <w:rPr>
          <w:rFonts w:eastAsia="" w:cs="Times New Roman" w:eastAsiaTheme="majorEastAsia" w:ascii="Times New Roman" w:hAnsi="Times New Roman"/>
          <w:b/>
          <w:bCs/>
          <w:color w:val="365F91" w:themeColor="accent1" w:themeShade="bf"/>
          <w:sz w:val="24"/>
          <w:szCs w:val="24"/>
        </w:rPr>
      </w:r>
    </w:p>
    <w:p>
      <w:pPr>
        <w:pStyle w:val="Normal"/>
        <w:spacing w:before="0" w:after="0"/>
        <w:ind w:firstLine="851"/>
        <w:contextualSpacing/>
        <w:rPr>
          <w:rFonts w:ascii="Times New Roman" w:hAnsi="Times New Roman" w:eastAsia="" w:cs="Times New Roman" w:eastAsiaTheme="majorEastAsia"/>
          <w:b/>
          <w:b/>
          <w:bCs/>
          <w:color w:val="365F91" w:themeColor="accent1" w:themeShade="bf"/>
          <w:sz w:val="24"/>
          <w:szCs w:val="24"/>
        </w:rPr>
      </w:pPr>
      <w:r>
        <w:rPr>
          <w:rFonts w:eastAsia="" w:cs="Times New Roman" w:ascii="Times New Roman" w:hAnsi="Times New Roman" w:eastAsiaTheme="majorEastAsia"/>
          <w:b/>
          <w:bCs/>
          <w:color w:val="365F91" w:themeColor="accent1" w:themeShade="bf"/>
          <w:sz w:val="24"/>
          <w:szCs w:val="24"/>
        </w:rPr>
        <w:t>2.9 Особо охраняемые природные территории</w:t>
      </w:r>
    </w:p>
    <w:p>
      <w:pPr>
        <w:pStyle w:val="Normal"/>
        <w:spacing w:before="0" w:after="0"/>
        <w:contextualSpacing/>
        <w:rPr/>
      </w:pPr>
      <w:r>
        <w:rPr/>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 xml:space="preserve">На территории Республики Мордовия действует Постановление Правительства Республики Мордовия от 28 сентября 2009 г. № 406 «Об особо охраняемых природных территориях Республики Мордовия». </w:t>
      </w:r>
    </w:p>
    <w:p>
      <w:pPr>
        <w:pStyle w:val="S6"/>
        <w:spacing w:lineRule="auto" w:line="276" w:before="0" w:after="0"/>
        <w:ind w:firstLine="851"/>
        <w:contextualSpacing/>
        <w:rPr/>
      </w:pPr>
      <w:r>
        <w:rPr/>
        <w:t xml:space="preserve">На основании </w:t>
      </w:r>
      <w:hyperlink r:id="rId4">
        <w:r>
          <w:rPr>
            <w:rStyle w:val="Style33"/>
            <w:b w:val="false"/>
            <w:bCs w:val="false"/>
            <w:color w:val="auto"/>
          </w:rPr>
          <w:t>пункта 7 статьи 2</w:t>
        </w:r>
      </w:hyperlink>
      <w:r>
        <w:rPr/>
        <w:t xml:space="preserve"> Федерального закона от 14 марта 1995 г. № 33-ФЗ «Об особо охраняемых природных территориях», </w:t>
      </w:r>
      <w:hyperlink r:id="rId5">
        <w:r>
          <w:rPr>
            <w:rStyle w:val="Style33"/>
            <w:b w:val="false"/>
            <w:bCs w:val="false"/>
            <w:color w:val="auto"/>
          </w:rPr>
          <w:t>подпункта 8 пункта 2 статьи 26.3</w:t>
        </w:r>
      </w:hyperlink>
      <w:r>
        <w:rPr/>
        <w:t xml:space="preserve"> Федерального закона от 6 октября 1999 г.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и в целях упорядочения   функционирования    особо   охраняемых    природных </w:t>
      </w:r>
    </w:p>
    <w:p>
      <w:pPr>
        <w:pStyle w:val="S6"/>
        <w:spacing w:lineRule="auto" w:line="276" w:before="0" w:after="0"/>
        <w:ind w:hanging="0"/>
        <w:contextualSpacing/>
        <w:rPr/>
      </w:pPr>
      <w:r>
        <w:rPr/>
        <w:t>территорий регионального   значения   Республики    Мордовия   Правительство   Республики</w:t>
      </w:r>
    </w:p>
    <w:p>
      <w:pPr>
        <w:pStyle w:val="S6"/>
        <w:spacing w:lineRule="auto" w:line="276" w:before="0" w:after="0"/>
        <w:ind w:hanging="0"/>
        <w:contextualSpacing/>
        <w:rPr/>
      </w:pPr>
      <w:r>
        <w:rPr/>
        <w:t>Мордовия постановляет:</w:t>
      </w:r>
    </w:p>
    <w:p>
      <w:pPr>
        <w:pStyle w:val="S6"/>
        <w:spacing w:lineRule="auto" w:line="276" w:before="0" w:after="0"/>
        <w:ind w:firstLine="851"/>
        <w:contextualSpacing/>
        <w:rPr/>
      </w:pPr>
      <w:r>
        <w:rPr/>
        <w:t>1. Утвердить прилагаемые к Постановлению Правительства Республики Мордовия от 28 сентября 2009 г. № 406:</w:t>
      </w:r>
      <w:bookmarkStart w:id="6" w:name="sub_1"/>
      <w:bookmarkEnd w:id="6"/>
    </w:p>
    <w:p>
      <w:pPr>
        <w:pStyle w:val="S6"/>
        <w:numPr>
          <w:ilvl w:val="0"/>
          <w:numId w:val="8"/>
        </w:numPr>
        <w:spacing w:lineRule="auto" w:line="276" w:before="0" w:after="0"/>
        <w:ind w:left="0" w:firstLine="851"/>
        <w:contextualSpacing/>
        <w:rPr/>
      </w:pPr>
      <w:hyperlink w:anchor="sub_1000">
        <w:r>
          <w:rPr>
            <w:rStyle w:val="Style9"/>
            <w:color w:val="auto"/>
            <w:u w:val="none"/>
          </w:rPr>
          <w:t>Положение</w:t>
        </w:r>
      </w:hyperlink>
      <w:r>
        <w:rPr/>
        <w:t xml:space="preserve"> о государственных природных заказниках регионального значения в Республике Мордовия;</w:t>
      </w:r>
    </w:p>
    <w:p>
      <w:pPr>
        <w:pStyle w:val="S6"/>
        <w:numPr>
          <w:ilvl w:val="0"/>
          <w:numId w:val="8"/>
        </w:numPr>
        <w:spacing w:lineRule="auto" w:line="276" w:before="0" w:after="0"/>
        <w:ind w:left="0" w:firstLine="851"/>
        <w:contextualSpacing/>
        <w:rPr/>
      </w:pPr>
      <w:hyperlink w:anchor="sub_2000">
        <w:r>
          <w:rPr>
            <w:rStyle w:val="Style9"/>
            <w:color w:val="auto"/>
            <w:u w:val="none"/>
          </w:rPr>
          <w:t>Положение</w:t>
        </w:r>
      </w:hyperlink>
      <w:r>
        <w:rPr/>
        <w:t xml:space="preserve"> о памятниках природы регионального значения Республики Мордовия.</w:t>
      </w:r>
    </w:p>
    <w:p>
      <w:pPr>
        <w:pStyle w:val="S6"/>
        <w:spacing w:lineRule="auto" w:line="276" w:before="0" w:after="0"/>
        <w:ind w:firstLine="851"/>
        <w:contextualSpacing/>
        <w:rPr/>
      </w:pPr>
      <w:r>
        <w:rPr/>
        <w:t>Данным постановлением также определяется:</w:t>
      </w:r>
    </w:p>
    <w:p>
      <w:pPr>
        <w:pStyle w:val="S6"/>
        <w:numPr>
          <w:ilvl w:val="0"/>
          <w:numId w:val="9"/>
        </w:numPr>
        <w:spacing w:lineRule="auto" w:line="276" w:before="0" w:after="0"/>
        <w:ind w:left="0" w:firstLine="851"/>
        <w:contextualSpacing/>
        <w:rPr/>
      </w:pPr>
      <w:r>
        <w:rPr/>
        <w:t>Профиль и предназначение государственных природных заказников регионального значения;</w:t>
      </w:r>
    </w:p>
    <w:p>
      <w:pPr>
        <w:pStyle w:val="S6"/>
        <w:numPr>
          <w:ilvl w:val="0"/>
          <w:numId w:val="9"/>
        </w:numPr>
        <w:spacing w:lineRule="auto" w:line="276" w:before="0" w:after="0"/>
        <w:ind w:left="0" w:firstLine="851"/>
        <w:contextualSpacing/>
        <w:rPr/>
      </w:pPr>
      <w:r>
        <w:rPr/>
        <w:t>Порядок образования государственных природных заказников регионального значения;</w:t>
      </w:r>
    </w:p>
    <w:p>
      <w:pPr>
        <w:pStyle w:val="S6"/>
        <w:numPr>
          <w:ilvl w:val="0"/>
          <w:numId w:val="9"/>
        </w:numPr>
        <w:spacing w:lineRule="auto" w:line="276" w:before="0" w:after="0"/>
        <w:ind w:left="0" w:firstLine="851"/>
        <w:contextualSpacing/>
        <w:rPr/>
      </w:pPr>
      <w:r>
        <w:rPr/>
        <w:t>Режим особой охраны территорий государственных природных заказников регионального значения;</w:t>
      </w:r>
    </w:p>
    <w:p>
      <w:pPr>
        <w:pStyle w:val="S6"/>
        <w:numPr>
          <w:ilvl w:val="0"/>
          <w:numId w:val="9"/>
        </w:numPr>
        <w:spacing w:lineRule="auto" w:line="276" w:before="0" w:after="0"/>
        <w:ind w:left="0" w:firstLine="851"/>
        <w:contextualSpacing/>
        <w:rPr/>
      </w:pPr>
      <w:r>
        <w:rPr/>
        <w:t>Основные категории памятников природы регионального значения;</w:t>
      </w:r>
    </w:p>
    <w:p>
      <w:pPr>
        <w:pStyle w:val="S6"/>
        <w:numPr>
          <w:ilvl w:val="0"/>
          <w:numId w:val="9"/>
        </w:numPr>
        <w:spacing w:lineRule="auto" w:line="276" w:before="0" w:after="0"/>
        <w:ind w:left="0" w:firstLine="851"/>
        <w:contextualSpacing/>
        <w:rPr/>
      </w:pPr>
      <w:r>
        <w:rPr/>
        <w:t>Порядок объявления природных комплексов и объектов памятниками природы регионального значения;</w:t>
      </w:r>
    </w:p>
    <w:p>
      <w:pPr>
        <w:pStyle w:val="S6"/>
        <w:numPr>
          <w:ilvl w:val="0"/>
          <w:numId w:val="9"/>
        </w:numPr>
        <w:spacing w:lineRule="auto" w:line="276" w:before="0" w:after="0"/>
        <w:ind w:left="0" w:firstLine="851"/>
        <w:contextualSpacing/>
        <w:rPr/>
      </w:pPr>
      <w:r>
        <w:rPr/>
        <w:t>Режим особой охраны территорий памятников природы регионального значения;</w:t>
      </w:r>
    </w:p>
    <w:p>
      <w:pPr>
        <w:pStyle w:val="S6"/>
        <w:numPr>
          <w:ilvl w:val="0"/>
          <w:numId w:val="9"/>
        </w:numPr>
        <w:spacing w:lineRule="auto" w:line="276" w:before="0" w:after="0"/>
        <w:ind w:left="0" w:firstLine="851"/>
        <w:contextualSpacing/>
        <w:rPr/>
      </w:pPr>
      <w:r>
        <w:rPr/>
        <w:t>Использование памятников природы регионального значения.</w:t>
      </w:r>
    </w:p>
    <w:p>
      <w:pPr>
        <w:pStyle w:val="S6"/>
        <w:widowControl w:val="false"/>
        <w:spacing w:lineRule="auto" w:line="276" w:before="0" w:after="0"/>
        <w:ind w:firstLine="851"/>
        <w:contextualSpacing/>
        <w:rPr>
          <w:bCs/>
          <w:szCs w:val="28"/>
        </w:rPr>
      </w:pPr>
      <w:r>
        <w:rPr>
          <w:szCs w:val="28"/>
        </w:rPr>
        <w:t xml:space="preserve">На территории Татарско-Тавлинского сельского поселения Лямбирского муниципального района Республики Мордовия согласно Постановлению </w:t>
      </w:r>
      <w:r>
        <w:rPr>
          <w:bCs/>
          <w:szCs w:val="28"/>
        </w:rPr>
        <w:t>Совета Министров Мордовской АССР от 6 октября 1983 г. № 374 «О признании природных объектов Мордовской АССР государственными памятниками природы» отсутствуют особо охраняемые территории.</w:t>
      </w:r>
      <w:bookmarkStart w:id="7" w:name="_Toc134871239"/>
      <w:bookmarkEnd w:id="7"/>
    </w:p>
    <w:p>
      <w:pPr>
        <w:pStyle w:val="S6"/>
        <w:spacing w:lineRule="auto" w:line="276" w:before="0" w:after="0"/>
        <w:ind w:hanging="0"/>
        <w:contextualSpacing/>
        <w:rPr/>
      </w:pPr>
      <w:r>
        <w:rPr/>
      </w:r>
    </w:p>
    <w:p>
      <w:pPr>
        <w:pStyle w:val="S6"/>
        <w:spacing w:lineRule="auto" w:line="276" w:before="0" w:after="0"/>
        <w:ind w:firstLine="851"/>
        <w:contextualSpacing/>
        <w:rPr>
          <w:b/>
          <w:b/>
          <w:color w:val="365F91" w:themeColor="accent1" w:themeShade="bf"/>
        </w:rPr>
      </w:pPr>
      <w:r>
        <w:rPr>
          <w:b/>
          <w:color w:val="365F91" w:themeColor="accent1" w:themeShade="bf"/>
        </w:rPr>
        <w:t>2.10 Архитектурно-планировочная организация и функциональное зонирование</w:t>
      </w:r>
    </w:p>
    <w:p>
      <w:pPr>
        <w:pStyle w:val="S6"/>
        <w:spacing w:lineRule="auto" w:line="276" w:before="0" w:after="0"/>
        <w:ind w:hanging="0"/>
        <w:contextualSpacing/>
        <w:rPr/>
      </w:pPr>
      <w:r>
        <w:rPr/>
      </w:r>
    </w:p>
    <w:p>
      <w:pPr>
        <w:pStyle w:val="S6"/>
        <w:spacing w:lineRule="auto" w:line="276" w:before="0" w:after="0"/>
        <w:ind w:firstLine="851"/>
        <w:contextualSpacing/>
        <w:rPr/>
      </w:pPr>
      <w:r>
        <w:rPr/>
        <w:t>Генеральный план – это долгосрочный прогнозный документ, согласно которому должно развиваться сельское поселение. Данным проектом учитываются все решения ранее утвержденных генеральных планов и внесенных изменений.</w:t>
      </w:r>
    </w:p>
    <w:p>
      <w:pPr>
        <w:pStyle w:val="S6"/>
        <w:spacing w:lineRule="auto" w:line="276" w:before="0" w:after="0"/>
        <w:ind w:firstLine="851"/>
        <w:contextualSpacing/>
        <w:rPr/>
      </w:pPr>
      <w:r>
        <w:rPr/>
        <w:t>В основу разработки проекта положены результаты комплексного анализа территории.</w:t>
      </w:r>
    </w:p>
    <w:p>
      <w:pPr>
        <w:pStyle w:val="S6"/>
        <w:spacing w:lineRule="auto" w:line="276" w:before="0" w:after="0"/>
        <w:ind w:firstLine="851"/>
        <w:contextualSpacing/>
        <w:rPr/>
      </w:pPr>
      <w:r>
        <w:rPr/>
        <w:t>За основу проекта были приняты ранее разработанные генеральные планы и внесенные изменения.</w:t>
      </w:r>
    </w:p>
    <w:p>
      <w:pPr>
        <w:pStyle w:val="S6"/>
        <w:spacing w:lineRule="auto" w:line="276" w:before="0" w:after="0"/>
        <w:ind w:firstLine="851"/>
        <w:contextualSpacing/>
        <w:rPr/>
      </w:pPr>
      <w:r>
        <w:rPr/>
        <w:t>Базовые принципы проектных предложений:</w:t>
      </w:r>
    </w:p>
    <w:p>
      <w:pPr>
        <w:pStyle w:val="S6"/>
        <w:numPr>
          <w:ilvl w:val="0"/>
          <w:numId w:val="10"/>
        </w:numPr>
        <w:spacing w:lineRule="auto" w:line="276" w:before="0" w:after="0"/>
        <w:ind w:left="0" w:firstLine="851"/>
        <w:contextualSpacing/>
        <w:rPr/>
      </w:pPr>
      <w:r>
        <w:rPr/>
        <w:t>формирование компактного поселкового образования;</w:t>
      </w:r>
    </w:p>
    <w:p>
      <w:pPr>
        <w:pStyle w:val="S6"/>
        <w:numPr>
          <w:ilvl w:val="0"/>
          <w:numId w:val="10"/>
        </w:numPr>
        <w:spacing w:lineRule="auto" w:line="276" w:before="0" w:after="0"/>
        <w:ind w:left="0" w:firstLine="851"/>
        <w:contextualSpacing/>
        <w:rPr/>
      </w:pPr>
      <w:r>
        <w:rPr/>
        <w:t>улучшения среды обитания в целом, регенерация (реорганизация) повышение качества поселковой среды;</w:t>
      </w:r>
    </w:p>
    <w:p>
      <w:pPr>
        <w:pStyle w:val="S6"/>
        <w:numPr>
          <w:ilvl w:val="0"/>
          <w:numId w:val="10"/>
        </w:numPr>
        <w:spacing w:lineRule="auto" w:line="276" w:before="0" w:after="0"/>
        <w:ind w:left="0" w:firstLine="851"/>
        <w:contextualSpacing/>
        <w:rPr/>
      </w:pPr>
      <w:r>
        <w:rPr/>
        <w:t>максимально возможный учёт природно-экологических и санитарно-гигиенических ограничений;</w:t>
      </w:r>
    </w:p>
    <w:p>
      <w:pPr>
        <w:pStyle w:val="S6"/>
        <w:numPr>
          <w:ilvl w:val="0"/>
          <w:numId w:val="10"/>
        </w:numPr>
        <w:spacing w:lineRule="auto" w:line="276" w:before="0" w:after="0"/>
        <w:ind w:left="0" w:firstLine="851"/>
        <w:contextualSpacing/>
        <w:rPr/>
      </w:pPr>
      <w:r>
        <w:rPr/>
        <w:t>размещение производственных и коммунально-складских объектов в новых производственных и коммунально-складских зонах и в существующих производственных зонах.</w:t>
      </w:r>
    </w:p>
    <w:p>
      <w:pPr>
        <w:pStyle w:val="S6"/>
        <w:spacing w:lineRule="auto" w:line="276" w:before="0" w:after="0"/>
        <w:ind w:firstLine="851"/>
        <w:contextualSpacing/>
        <w:rPr/>
      </w:pPr>
      <w:r>
        <w:rPr/>
        <w:t>К моменту разработки проекта существующая планировочная структура населенного пункта сохраняет исторически сложившуюся систему улиц.</w:t>
      </w:r>
    </w:p>
    <w:p>
      <w:pPr>
        <w:pStyle w:val="S6"/>
        <w:spacing w:lineRule="auto" w:line="276" w:before="0" w:after="0"/>
        <w:ind w:firstLine="851"/>
        <w:contextualSpacing/>
        <w:rPr/>
      </w:pPr>
      <w:r>
        <w:rPr>
          <w:u w:val="single"/>
        </w:rPr>
        <w:t>Архитектурно-планировочное решение</w:t>
      </w:r>
      <w:r>
        <w:rPr/>
        <w:t>, заложенное в генеральный план базируется на сложившейся планировочной структуре, развивая и дополняя её с учётом современных требований.</w:t>
      </w:r>
    </w:p>
    <w:p>
      <w:pPr>
        <w:pStyle w:val="S6"/>
        <w:spacing w:lineRule="auto" w:line="276" w:before="0" w:after="0"/>
        <w:ind w:firstLine="851"/>
        <w:contextualSpacing/>
        <w:rPr/>
      </w:pPr>
      <w:r>
        <w:rPr>
          <w:u w:val="single"/>
        </w:rPr>
        <w:t>Главная цель</w:t>
      </w:r>
      <w:r>
        <w:rPr/>
        <w:t xml:space="preserve"> заключается в предложение по усовершенствованию планировочной структуры – обеспечить связанность территории населенного пункта с центром и с планировочными районами и местами отдыха, а также планировочных районов между собой.</w:t>
      </w:r>
    </w:p>
    <w:p>
      <w:pPr>
        <w:pStyle w:val="S6"/>
        <w:spacing w:lineRule="auto" w:line="276" w:before="0" w:after="0"/>
        <w:ind w:firstLine="851"/>
        <w:contextualSpacing/>
        <w:rPr/>
      </w:pPr>
      <w:r>
        <w:rPr/>
        <w:t>Система пешеходных улиц, зелёных коридоров, аллей рассматривается во взаимосвязи</w:t>
      </w:r>
    </w:p>
    <w:p>
      <w:pPr>
        <w:pStyle w:val="S6"/>
        <w:spacing w:lineRule="auto" w:line="280" w:before="0" w:after="0"/>
        <w:ind w:hanging="0"/>
        <w:contextualSpacing/>
        <w:rPr/>
      </w:pPr>
      <w:r>
        <w:rPr/>
        <w:t>с транспортной структурой, центрами обслуживания и зонами рекреации.</w:t>
      </w:r>
    </w:p>
    <w:p>
      <w:pPr>
        <w:pStyle w:val="S6"/>
        <w:spacing w:lineRule="auto" w:line="280" w:before="0" w:after="0"/>
        <w:ind w:firstLine="851"/>
        <w:contextualSpacing/>
        <w:rPr/>
      </w:pPr>
      <w:r>
        <w:rPr/>
      </w:r>
    </w:p>
    <w:p>
      <w:pPr>
        <w:pStyle w:val="ListParagraph"/>
        <w:spacing w:lineRule="auto" w:line="280" w:before="0" w:after="0"/>
        <w:ind w:left="0" w:right="-1" w:firstLine="851"/>
        <w:contextualSpacing/>
        <w:jc w:val="both"/>
        <w:rPr>
          <w:rFonts w:ascii="Times New Roman" w:hAnsi="Times New Roman"/>
          <w:b/>
          <w:b/>
          <w:color w:val="365F91" w:themeColor="accent1" w:themeShade="bf"/>
          <w:sz w:val="24"/>
          <w:szCs w:val="24"/>
        </w:rPr>
      </w:pPr>
      <w:r>
        <w:rPr>
          <w:rFonts w:ascii="Times New Roman" w:hAnsi="Times New Roman"/>
          <w:b/>
          <w:color w:val="365F91" w:themeColor="accent1" w:themeShade="bf"/>
          <w:sz w:val="24"/>
          <w:szCs w:val="24"/>
        </w:rPr>
        <w:t>2.10.1 Развитие и совершенствование функционального зонирования</w:t>
      </w:r>
    </w:p>
    <w:p>
      <w:pPr>
        <w:pStyle w:val="ListParagraph"/>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r>
    </w:p>
    <w:p>
      <w:pPr>
        <w:pStyle w:val="ListParagraph"/>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Проектом предусмотрены следующие зоны:</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жилая зона;</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общественно-деловая зона;</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производственная зона сельскохозяйственных предприятий;</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зона транспортной инфраструктуры;</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зона специального назначения;</w:t>
      </w:r>
    </w:p>
    <w:p>
      <w:pPr>
        <w:pStyle w:val="ListParagraph"/>
        <w:numPr>
          <w:ilvl w:val="0"/>
          <w:numId w:val="11"/>
        </w:numPr>
        <w:spacing w:lineRule="auto" w:line="280" w:before="0" w:after="0"/>
        <w:ind w:left="0" w:right="-1" w:firstLine="851"/>
        <w:contextualSpacing/>
        <w:jc w:val="both"/>
        <w:rPr>
          <w:rFonts w:ascii="Times New Roman" w:hAnsi="Times New Roman"/>
          <w:sz w:val="24"/>
          <w:szCs w:val="24"/>
        </w:rPr>
      </w:pPr>
      <w:r>
        <w:rPr>
          <w:rFonts w:ascii="Times New Roman" w:hAnsi="Times New Roman"/>
          <w:sz w:val="24"/>
          <w:szCs w:val="24"/>
        </w:rPr>
        <w:t>зона рекреационного назначения.</w:t>
      </w:r>
    </w:p>
    <w:p>
      <w:pPr>
        <w:pStyle w:val="ListParagraph"/>
        <w:widowControl w:val="false"/>
        <w:numPr>
          <w:ilvl w:val="0"/>
          <w:numId w:val="1"/>
        </w:numPr>
        <w:spacing w:lineRule="auto" w:line="280" w:before="0" w:after="0"/>
        <w:ind w:left="0" w:firstLine="851"/>
        <w:contextualSpacing/>
        <w:jc w:val="both"/>
        <w:rPr>
          <w:rFonts w:ascii="Times New Roman" w:hAnsi="Times New Roman"/>
          <w:bCs/>
          <w:sz w:val="24"/>
        </w:rPr>
      </w:pPr>
      <w:r>
        <w:rPr>
          <w:rFonts w:ascii="Times New Roman" w:hAnsi="Times New Roman"/>
          <w:sz w:val="24"/>
          <w:szCs w:val="24"/>
        </w:rPr>
        <w:t xml:space="preserve">Также на картах показаны </w:t>
      </w:r>
      <w:r>
        <w:rPr>
          <w:rFonts w:ascii="Times New Roman" w:hAnsi="Times New Roman"/>
          <w:bCs/>
          <w:sz w:val="24"/>
        </w:rPr>
        <w:t>земли лесного фонда и земли сельскохозяйственного назначения.</w:t>
      </w:r>
    </w:p>
    <w:p>
      <w:pPr>
        <w:pStyle w:val="Normal"/>
        <w:numPr>
          <w:ilvl w:val="0"/>
          <w:numId w:val="1"/>
        </w:numPr>
        <w:spacing w:lineRule="auto" w:line="280" w:before="0" w:after="0"/>
        <w:ind w:left="0" w:firstLine="851"/>
        <w:contextualSpacing/>
        <w:jc w:val="both"/>
        <w:rPr>
          <w:rFonts w:ascii="Times New Roman" w:hAnsi="Times New Roman" w:cs="Times New Roman"/>
          <w:b/>
          <w:b/>
          <w:i/>
          <w:i/>
          <w:sz w:val="24"/>
          <w:szCs w:val="24"/>
        </w:rPr>
      </w:pPr>
      <w:r>
        <w:rPr>
          <w:rFonts w:cs="Times New Roman" w:ascii="Times New Roman" w:hAnsi="Times New Roman"/>
          <w:b/>
          <w:i/>
          <w:sz w:val="24"/>
          <w:szCs w:val="24"/>
        </w:rPr>
      </w:r>
    </w:p>
    <w:p>
      <w:pPr>
        <w:pStyle w:val="Normal"/>
        <w:numPr>
          <w:ilvl w:val="0"/>
          <w:numId w:val="1"/>
        </w:numPr>
        <w:spacing w:lineRule="auto" w:line="280" w:before="0" w:after="0"/>
        <w:ind w:left="0" w:firstLine="709"/>
        <w:contextualSpacing/>
        <w:jc w:val="both"/>
        <w:rPr>
          <w:rFonts w:ascii="Times New Roman" w:hAnsi="Times New Roman" w:cs="Times New Roman"/>
          <w:b/>
          <w:b/>
          <w:i/>
          <w:i/>
          <w:sz w:val="24"/>
          <w:szCs w:val="24"/>
        </w:rPr>
      </w:pPr>
      <w:r>
        <w:rPr>
          <w:rFonts w:cs="Times New Roman" w:ascii="Times New Roman" w:hAnsi="Times New Roman"/>
          <w:b/>
          <w:i/>
          <w:sz w:val="24"/>
          <w:szCs w:val="24"/>
        </w:rPr>
        <w:t>Жилая зона</w:t>
      </w:r>
    </w:p>
    <w:p>
      <w:pPr>
        <w:pStyle w:val="Normal"/>
        <w:numPr>
          <w:ilvl w:val="0"/>
          <w:numId w:val="1"/>
        </w:numPr>
        <w:spacing w:lineRule="auto" w:line="280" w:before="0" w:after="0"/>
        <w:ind w:left="0" w:firstLine="709"/>
        <w:contextualSpacing/>
        <w:jc w:val="both"/>
        <w:rPr>
          <w:rFonts w:ascii="Times New Roman" w:hAnsi="Times New Roman" w:cs="Times New Roman"/>
          <w:sz w:val="24"/>
          <w:szCs w:val="24"/>
        </w:rPr>
      </w:pPr>
      <w:r>
        <w:rPr>
          <w:rFonts w:cs="Times New Roman" w:ascii="Times New Roman" w:hAnsi="Times New Roman"/>
          <w:sz w:val="24"/>
          <w:szCs w:val="24"/>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42.13330.2016 «Градостроительство. Планировка и застройка городских и сельских поселений», не допускается размещать в жилых зонах (ред. от 19.12.2019).</w:t>
      </w:r>
    </w:p>
    <w:p>
      <w:pPr>
        <w:pStyle w:val="Normal"/>
        <w:numPr>
          <w:ilvl w:val="0"/>
          <w:numId w:val="1"/>
        </w:numPr>
        <w:spacing w:lineRule="auto" w:line="280" w:before="0" w:after="0"/>
        <w:ind w:left="0" w:firstLine="709"/>
        <w:contextualSpacing/>
        <w:jc w:val="both"/>
        <w:rPr>
          <w:rFonts w:ascii="Times New Roman" w:hAnsi="Times New Roman" w:cs="Times New Roman"/>
          <w:sz w:val="24"/>
          <w:szCs w:val="24"/>
        </w:rPr>
      </w:pPr>
      <w:r>
        <w:rPr>
          <w:rFonts w:cs="Times New Roman" w:ascii="Times New Roman" w:hAnsi="Times New Roman"/>
          <w:sz w:val="24"/>
          <w:szCs w:val="24"/>
        </w:rPr>
        <w:t>В жилых зонах размещаются:</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жилые дома разных типов (многоквартирные многоэтажные, средней и малой этажности);</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блокированные;</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усадебные с приквартирными и приусадебными участками;</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отдельно стоящие, встроенные или пристроенные объекты социального и культурно-бытового обслуживания населения;</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гаражи (гаражи-стоянки) и стоянки автомобилей для легковых автомобилей, принадлежащих гражданам;</w:t>
      </w:r>
    </w:p>
    <w:p>
      <w:pPr>
        <w:pStyle w:val="Normal"/>
        <w:numPr>
          <w:ilvl w:val="0"/>
          <w:numId w:val="12"/>
        </w:numPr>
        <w:spacing w:lineRule="auto" w:line="280"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культовые объекты.</w:t>
      </w:r>
    </w:p>
    <w:p>
      <w:pPr>
        <w:pStyle w:val="Normal"/>
        <w:numPr>
          <w:ilvl w:val="0"/>
          <w:numId w:val="1"/>
        </w:numPr>
        <w:spacing w:lineRule="auto" w:line="280" w:before="0" w:after="0"/>
        <w:ind w:left="0" w:firstLine="709"/>
        <w:contextualSpacing/>
        <w:jc w:val="both"/>
        <w:rPr>
          <w:rFonts w:ascii="Times New Roman" w:hAnsi="Times New Roman" w:cs="Times New Roman"/>
          <w:sz w:val="24"/>
          <w:szCs w:val="24"/>
        </w:rPr>
      </w:pPr>
      <w:r>
        <w:rPr>
          <w:rFonts w:cs="Times New Roman" w:ascii="Times New Roman" w:hAnsi="Times New Roman"/>
          <w:sz w:val="24"/>
          <w:szCs w:val="24"/>
        </w:rPr>
        <w:t>Допускается размещать отдельные объекты общественно-делового и коммунального назначения с площадью участка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p>
    <w:p>
      <w:pPr>
        <w:pStyle w:val="Normal"/>
        <w:numPr>
          <w:ilvl w:val="0"/>
          <w:numId w:val="1"/>
        </w:numPr>
        <w:spacing w:lineRule="auto" w:line="280" w:before="0" w:after="0"/>
        <w:ind w:left="0" w:firstLine="709"/>
        <w:contextualSpacing/>
        <w:jc w:val="both"/>
        <w:rPr>
          <w:rFonts w:ascii="Times New Roman" w:hAnsi="Times New Roman" w:cs="Times New Roman"/>
          <w:i/>
          <w:i/>
          <w:sz w:val="24"/>
          <w:szCs w:val="24"/>
        </w:rPr>
      </w:pPr>
      <w:r>
        <w:rPr>
          <w:rFonts w:cs="Times New Roman" w:ascii="Times New Roman" w:hAnsi="Times New Roman"/>
          <w:sz w:val="24"/>
          <w:szCs w:val="24"/>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w:t>
      </w:r>
    </w:p>
    <w:p>
      <w:pPr>
        <w:pStyle w:val="Normal"/>
        <w:spacing w:lineRule="auto" w:line="280" w:before="0" w:after="0"/>
        <w:ind w:firstLine="709"/>
        <w:contextualSpacing/>
        <w:jc w:val="both"/>
        <w:rPr>
          <w:rFonts w:ascii="Times New Roman" w:hAnsi="Times New Roman" w:cs="Times New Roman"/>
          <w:sz w:val="24"/>
          <w:szCs w:val="24"/>
        </w:rPr>
      </w:pPr>
      <w:r>
        <w:rPr>
          <w:rFonts w:cs="Times New Roman" w:ascii="Times New Roman" w:hAnsi="Times New Roman"/>
          <w:i/>
          <w:sz w:val="24"/>
          <w:szCs w:val="24"/>
        </w:rPr>
        <w:t xml:space="preserve">Согласно СП 42.13330.2016 </w:t>
      </w:r>
      <w:r>
        <w:rPr>
          <w:rFonts w:cs="Times New Roman" w:ascii="Times New Roman" w:hAnsi="Times New Roman"/>
          <w:sz w:val="24"/>
          <w:szCs w:val="24"/>
        </w:rPr>
        <w:t>Развитие социальной, транспортной и инженерной инфраструктур этих территорий необходимо предусматривать с учетом возможности постоянного проживания граждан на этих территориях.</w:t>
      </w:r>
    </w:p>
    <w:p>
      <w:pPr>
        <w:pStyle w:val="Normal"/>
        <w:spacing w:lineRule="auto" w:line="280" w:before="0" w:after="0"/>
        <w:ind w:firstLine="709"/>
        <w:contextualSpacing/>
        <w:jc w:val="both"/>
        <w:rPr>
          <w:rFonts w:ascii="Times New Roman" w:hAnsi="Times New Roman" w:cs="Times New Roman"/>
          <w:sz w:val="24"/>
          <w:szCs w:val="24"/>
        </w:rPr>
      </w:pPr>
      <w:r>
        <w:rPr>
          <w:rFonts w:cs="Times New Roman" w:ascii="Times New Roman" w:hAnsi="Times New Roman"/>
          <w:sz w:val="24"/>
          <w:szCs w:val="24"/>
        </w:rPr>
        <w:t>Основными показателями плотности застройки являются:</w:t>
      </w:r>
    </w:p>
    <w:p>
      <w:pPr>
        <w:pStyle w:val="ListParagraph"/>
        <w:numPr>
          <w:ilvl w:val="0"/>
          <w:numId w:val="13"/>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коэффициент застройки – отношение площади, занятой под зданиями и сооружениями, к площади территории;</w:t>
      </w:r>
    </w:p>
    <w:p>
      <w:pPr>
        <w:pStyle w:val="ListParagraph"/>
        <w:numPr>
          <w:ilvl w:val="0"/>
          <w:numId w:val="13"/>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коэффициент плотности застройки – отношение суммарной поэтажной площади зданий и сооружений к площади территории.</w:t>
      </w:r>
    </w:p>
    <w:p>
      <w:pPr>
        <w:pStyle w:val="Normal"/>
        <w:numPr>
          <w:ilvl w:val="0"/>
          <w:numId w:val="1"/>
        </w:numPr>
        <w:spacing w:lineRule="auto" w:line="297" w:before="0" w:after="0"/>
        <w:ind w:left="0" w:firstLine="709"/>
        <w:contextualSpacing/>
        <w:jc w:val="both"/>
        <w:rPr>
          <w:rFonts w:ascii="Times New Roman" w:hAnsi="Times New Roman" w:cs="Times New Roman"/>
          <w:sz w:val="24"/>
          <w:szCs w:val="24"/>
        </w:rPr>
      </w:pPr>
      <w:r>
        <w:rPr>
          <w:rFonts w:cs="Times New Roman" w:ascii="Times New Roman" w:hAnsi="Times New Roman"/>
          <w:sz w:val="24"/>
          <w:szCs w:val="24"/>
        </w:rPr>
        <w:t>В основе проектных решений по формированию жилой среды использовались следующие принципы:</w:t>
      </w:r>
    </w:p>
    <w:p>
      <w:pPr>
        <w:pStyle w:val="Normal"/>
        <w:numPr>
          <w:ilvl w:val="0"/>
          <w:numId w:val="14"/>
        </w:numPr>
        <w:spacing w:lineRule="auto" w:line="297"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изыскание наиболее пригодных площадок для нового жилищного строительства на возвышенных местах с глубоким стоянием грунтовых вод, хорошо инсолируемых, расположенных выше по рельефу и течению рек по отношению к производственным объектам;</w:t>
      </w:r>
    </w:p>
    <w:p>
      <w:pPr>
        <w:pStyle w:val="Normal"/>
        <w:numPr>
          <w:ilvl w:val="0"/>
          <w:numId w:val="14"/>
        </w:numPr>
        <w:spacing w:lineRule="auto" w:line="297"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pPr>
        <w:pStyle w:val="Normal"/>
        <w:numPr>
          <w:ilvl w:val="0"/>
          <w:numId w:val="14"/>
        </w:numPr>
        <w:spacing w:lineRule="auto" w:line="297"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выход на показатель обеспеченности не менее 30 м кв. общей площади на человека.</w:t>
      </w:r>
    </w:p>
    <w:p>
      <w:pPr>
        <w:pStyle w:val="Normal"/>
        <w:numPr>
          <w:ilvl w:val="0"/>
          <w:numId w:val="1"/>
        </w:numPr>
        <w:spacing w:lineRule="auto" w:line="297"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На территории Татарско-Тавлинского сельского поселения планируется включение в планируемую жилую зону земельных участков со следующими кадастровыми номерами:  13:15:0103002:1996; 13:15:0103002:1968; 13:15:0103002:1997; 13:15:0103002:1969; 13:15:0103002:1970.</w:t>
      </w:r>
    </w:p>
    <w:p>
      <w:pPr>
        <w:pStyle w:val="Normal"/>
        <w:numPr>
          <w:ilvl w:val="0"/>
          <w:numId w:val="1"/>
        </w:numPr>
        <w:spacing w:lineRule="auto" w:line="297" w:before="0" w:after="0"/>
        <w:ind w:left="0" w:hanging="0"/>
        <w:contextualSpacing/>
        <w:jc w:val="both"/>
        <w:rPr>
          <w:rFonts w:ascii="Times New Roman" w:hAnsi="Times New Roman" w:cs="Times New Roman"/>
          <w:sz w:val="24"/>
          <w:szCs w:val="24"/>
        </w:rPr>
      </w:pPr>
      <w:r>
        <w:rPr>
          <w:rFonts w:cs="Times New Roman" w:ascii="Times New Roman" w:hAnsi="Times New Roman"/>
          <w:sz w:val="24"/>
          <w:szCs w:val="24"/>
        </w:rPr>
      </w:r>
    </w:p>
    <w:p>
      <w:pPr>
        <w:pStyle w:val="16"/>
        <w:numPr>
          <w:ilvl w:val="0"/>
          <w:numId w:val="1"/>
        </w:numPr>
        <w:spacing w:lineRule="auto" w:line="297" w:before="0" w:after="0"/>
        <w:ind w:left="0" w:firstLine="851"/>
        <w:contextualSpacing/>
        <w:jc w:val="both"/>
        <w:rPr>
          <w:rFonts w:ascii="Times New Roman" w:hAnsi="Times New Roman" w:cs="Times New Roman"/>
          <w:b/>
          <w:b/>
          <w:bCs/>
          <w:i/>
          <w:i/>
          <w:sz w:val="24"/>
          <w:szCs w:val="24"/>
        </w:rPr>
      </w:pPr>
      <w:r>
        <w:rPr>
          <w:rFonts w:cs="Times New Roman" w:ascii="Times New Roman" w:hAnsi="Times New Roman"/>
          <w:b/>
          <w:bCs/>
          <w:i/>
          <w:sz w:val="24"/>
          <w:szCs w:val="24"/>
        </w:rPr>
        <w:t>Общественно-деловая зона</w:t>
      </w:r>
    </w:p>
    <w:p>
      <w:pPr>
        <w:pStyle w:val="Normal"/>
        <w:spacing w:lineRule="auto" w:line="297" w:before="0" w:after="0"/>
        <w:ind w:firstLine="851"/>
        <w:contextualSpacing/>
        <w:jc w:val="both"/>
        <w:rPr>
          <w:rFonts w:ascii="Times New Roman" w:hAnsi="Times New Roman" w:eastAsia="Times New Roman" w:cs="Times New Roman"/>
          <w:bCs/>
          <w:color w:val="000000"/>
          <w:sz w:val="24"/>
          <w:szCs w:val="24"/>
          <w:lang w:eastAsia="ar-SA"/>
        </w:rPr>
      </w:pPr>
      <w:r>
        <w:rPr>
          <w:rFonts w:eastAsia="Times New Roman" w:cs="Times New Roman" w:ascii="Times New Roman" w:hAnsi="Times New Roman"/>
          <w:bCs/>
          <w:color w:val="000000"/>
          <w:sz w:val="24"/>
          <w:szCs w:val="24"/>
          <w:lang w:eastAsia="ar-SA"/>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В состав общественно-деловых зон могут включаться:</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1) зоны делового, общественного и коммерческого назначения;</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2) зоны размещения объектов социального и коммунально-бытового назначения;</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3) зоны обслуживания объектов, необходимых для осуществления производственной и предпринимательской деятельности;</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4) общественно-деловые зоны иных видов.</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r>
    </w:p>
    <w:p>
      <w:pPr>
        <w:pStyle w:val="Normal"/>
        <w:spacing w:lineRule="auto" w:line="297" w:before="0" w:after="0"/>
        <w:ind w:firstLine="851"/>
        <w:contextualSpacing/>
        <w:jc w:val="both"/>
        <w:rPr>
          <w:rFonts w:ascii="Times New Roman" w:hAnsi="Times New Roman" w:cs="Times New Roman"/>
          <w:b/>
          <w:b/>
          <w:i/>
          <w:i/>
          <w:sz w:val="24"/>
          <w:szCs w:val="24"/>
        </w:rPr>
      </w:pPr>
      <w:r>
        <w:rPr>
          <w:rFonts w:cs="Times New Roman" w:ascii="Times New Roman" w:hAnsi="Times New Roman"/>
          <w:b/>
          <w:i/>
          <w:sz w:val="24"/>
          <w:szCs w:val="24"/>
        </w:rPr>
        <w:t>Производственная зона сельскохозяйственных предприятий</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В зоны, занятые объектами сельскохозяйственного назначения входят – здания, строения, сооружения, используемые для производства, хранения и первичной обработки сельскохозяйственной продукции. Входят также земли, занятые внутрихозяйственными дорогами, коммуникациями, древесно-кустарниковой растительностью, предназначенной для обеспечения защиты земель от воздействия негативных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pPr>
        <w:pStyle w:val="Normal"/>
        <w:spacing w:lineRule="auto" w:line="297"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 xml:space="preserve">В состав таких зон относят: </w:t>
      </w:r>
    </w:p>
    <w:p>
      <w:pPr>
        <w:pStyle w:val="ListParagraph"/>
        <w:widowControl w:val="false"/>
        <w:numPr>
          <w:ilvl w:val="0"/>
          <w:numId w:val="15"/>
        </w:numPr>
        <w:spacing w:lineRule="auto" w:line="302" w:before="0" w:after="0"/>
        <w:ind w:left="0" w:firstLine="851"/>
        <w:contextualSpacing/>
        <w:jc w:val="both"/>
        <w:rPr>
          <w:rFonts w:ascii="Times New Roman" w:hAnsi="Times New Roman"/>
          <w:sz w:val="24"/>
          <w:szCs w:val="24"/>
        </w:rPr>
      </w:pPr>
      <w:r>
        <w:rPr>
          <w:rFonts w:ascii="Times New Roman" w:hAnsi="Times New Roman"/>
          <w:sz w:val="24"/>
          <w:szCs w:val="24"/>
        </w:rPr>
        <w:t>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
    <w:p>
      <w:pPr>
        <w:pStyle w:val="Normal"/>
        <w:widowControl w:val="false"/>
        <w:spacing w:lineRule="auto" w:line="302" w:before="0" w:after="0"/>
        <w:ind w:left="851" w:hanging="0"/>
        <w:contextualSpacing/>
        <w:jc w:val="both"/>
        <w:rPr>
          <w:rFonts w:ascii="Times New Roman" w:hAnsi="Times New Roman"/>
          <w:sz w:val="24"/>
          <w:szCs w:val="24"/>
        </w:rPr>
      </w:pPr>
      <w:r>
        <w:rPr>
          <w:rFonts w:ascii="Times New Roman" w:hAnsi="Times New Roman"/>
          <w:sz w:val="24"/>
          <w:szCs w:val="24"/>
        </w:rPr>
      </w:r>
    </w:p>
    <w:p>
      <w:pPr>
        <w:pStyle w:val="Normal"/>
        <w:numPr>
          <w:ilvl w:val="0"/>
          <w:numId w:val="1"/>
        </w:numPr>
        <w:spacing w:lineRule="auto" w:line="302" w:before="0" w:after="0"/>
        <w:ind w:left="0" w:firstLine="851"/>
        <w:contextualSpacing/>
        <w:jc w:val="both"/>
        <w:rPr>
          <w:rFonts w:ascii="Times New Roman" w:hAnsi="Times New Roman" w:cs="Times New Roman"/>
          <w:b/>
          <w:b/>
          <w:bCs/>
          <w:i/>
          <w:i/>
          <w:sz w:val="24"/>
          <w:szCs w:val="24"/>
        </w:rPr>
      </w:pPr>
      <w:r>
        <w:rPr>
          <w:rFonts w:cs="Times New Roman" w:ascii="Times New Roman" w:hAnsi="Times New Roman"/>
          <w:b/>
          <w:bCs/>
          <w:i/>
          <w:sz w:val="24"/>
          <w:szCs w:val="24"/>
        </w:rPr>
        <w:t xml:space="preserve">Зона транспортной инфраструктуры </w:t>
      </w:r>
    </w:p>
    <w:p>
      <w:pPr>
        <w:pStyle w:val="Normal"/>
        <w:spacing w:lineRule="auto" w:line="302"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 xml:space="preserve">Земельные участки в составе зон инженерной и транспортной инфраструктуры предназначены для застройки объектами железнодорожного, автомобильного, речного, </w:t>
      </w:r>
    </w:p>
    <w:p>
      <w:pPr>
        <w:pStyle w:val="Normal"/>
        <w:spacing w:lineRule="auto" w:line="302" w:before="0" w:after="0"/>
        <w:contextualSpacing/>
        <w:jc w:val="both"/>
        <w:rPr>
          <w:rFonts w:ascii="Times New Roman" w:hAnsi="Times New Roman" w:cs="Times New Roman"/>
          <w:sz w:val="24"/>
          <w:szCs w:val="24"/>
        </w:rPr>
      </w:pPr>
      <w:r>
        <w:rPr>
          <w:rFonts w:cs="Times New Roman" w:ascii="Times New Roman" w:hAnsi="Times New Roman"/>
          <w:sz w:val="24"/>
          <w:szCs w:val="24"/>
        </w:rPr>
        <w:t>морского, воздушного и трубопроводного транспорта, связи, инженерной инфраструктуры,</w:t>
      </w:r>
    </w:p>
    <w:p>
      <w:pPr>
        <w:pStyle w:val="Normal"/>
        <w:spacing w:lineRule="auto" w:line="302" w:before="0" w:after="0"/>
        <w:contextualSpacing/>
        <w:jc w:val="both"/>
        <w:rPr>
          <w:rFonts w:ascii="Times New Roman" w:hAnsi="Times New Roman" w:cs="Times New Roman"/>
          <w:sz w:val="24"/>
          <w:szCs w:val="24"/>
        </w:rPr>
      </w:pPr>
      <w:r>
        <w:rPr>
          <w:rFonts w:cs="Times New Roman" w:ascii="Times New Roman" w:hAnsi="Times New Roman"/>
          <w:sz w:val="24"/>
          <w:szCs w:val="24"/>
        </w:rPr>
        <w:t>а также объектами иного назначения согласно градостроительным регламентам.</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В состав транспортной инфраструктур могут включаться:</w:t>
      </w:r>
    </w:p>
    <w:p>
      <w:pPr>
        <w:pStyle w:val="ListParagraph"/>
        <w:numPr>
          <w:ilvl w:val="0"/>
          <w:numId w:val="16"/>
        </w:numPr>
        <w:spacing w:lineRule="auto" w:line="302" w:before="0" w:after="0"/>
        <w:ind w:left="0" w:firstLine="851"/>
        <w:contextualSpacing/>
        <w:jc w:val="both"/>
        <w:rPr>
          <w:rFonts w:ascii="Times New Roman" w:hAnsi="Times New Roman"/>
          <w:bCs/>
          <w:sz w:val="24"/>
          <w:szCs w:val="24"/>
        </w:rPr>
      </w:pPr>
      <w:r>
        <w:rPr>
          <w:rFonts w:ascii="Times New Roman" w:hAnsi="Times New Roman"/>
          <w:bCs/>
          <w:sz w:val="24"/>
          <w:szCs w:val="24"/>
        </w:rPr>
        <w:t>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2) иные виды транспортной инфраструктур.</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Зону транспортной инфраструктуры следует предусматривать для размещения сооружений и коммуникаций железнодорожного, автомобильного транспорта, с учетом их перспективного развития.</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w:t>
      </w:r>
    </w:p>
    <w:p>
      <w:pPr>
        <w:pStyle w:val="Normal"/>
        <w:spacing w:lineRule="auto" w:line="302" w:before="0" w:after="0"/>
        <w:ind w:firstLine="851"/>
        <w:contextualSpacing/>
        <w:jc w:val="both"/>
        <w:rPr>
          <w:rFonts w:ascii="Times New Roman" w:hAnsi="Times New Roman" w:cs="Times New Roman"/>
          <w:bCs/>
          <w:sz w:val="24"/>
          <w:szCs w:val="24"/>
        </w:rPr>
      </w:pPr>
      <w:r>
        <w:rPr>
          <w:rFonts w:cs="Times New Roman" w:ascii="Times New Roman" w:hAnsi="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сельских поселений.</w:t>
      </w:r>
    </w:p>
    <w:p>
      <w:pPr>
        <w:pStyle w:val="Normal"/>
        <w:numPr>
          <w:ilvl w:val="0"/>
          <w:numId w:val="1"/>
        </w:numPr>
        <w:spacing w:lineRule="auto" w:line="302" w:before="0" w:after="0"/>
        <w:ind w:left="0" w:firstLine="851"/>
        <w:contextualSpacing/>
        <w:jc w:val="both"/>
        <w:rPr>
          <w:rFonts w:ascii="Times New Roman" w:hAnsi="Times New Roman" w:cs="Times New Roman"/>
          <w:b/>
          <w:b/>
          <w:i/>
          <w:i/>
          <w:sz w:val="24"/>
          <w:szCs w:val="24"/>
        </w:rPr>
      </w:pPr>
      <w:r>
        <w:rPr>
          <w:rFonts w:cs="Times New Roman" w:ascii="Times New Roman" w:hAnsi="Times New Roman"/>
          <w:b/>
          <w:i/>
          <w:sz w:val="24"/>
          <w:szCs w:val="24"/>
        </w:rPr>
      </w:r>
    </w:p>
    <w:p>
      <w:pPr>
        <w:pStyle w:val="Normal"/>
        <w:numPr>
          <w:ilvl w:val="0"/>
          <w:numId w:val="1"/>
        </w:numPr>
        <w:spacing w:lineRule="auto" w:line="302" w:before="0" w:after="0"/>
        <w:ind w:left="0" w:firstLine="851"/>
        <w:contextualSpacing/>
        <w:jc w:val="both"/>
        <w:rPr>
          <w:rFonts w:ascii="Times New Roman" w:hAnsi="Times New Roman" w:cs="Times New Roman"/>
          <w:b/>
          <w:b/>
          <w:i/>
          <w:i/>
          <w:sz w:val="24"/>
          <w:szCs w:val="24"/>
        </w:rPr>
      </w:pPr>
      <w:r>
        <w:rPr>
          <w:rFonts w:cs="Times New Roman" w:ascii="Times New Roman" w:hAnsi="Times New Roman"/>
          <w:b/>
          <w:i/>
          <w:sz w:val="24"/>
          <w:szCs w:val="24"/>
        </w:rPr>
        <w:t>Зоны специального назначения</w:t>
      </w:r>
    </w:p>
    <w:p>
      <w:pPr>
        <w:pStyle w:val="Style35"/>
        <w:numPr>
          <w:ilvl w:val="0"/>
          <w:numId w:val="1"/>
        </w:numPr>
        <w:spacing w:lineRule="auto" w:line="302" w:before="0" w:after="0"/>
        <w:ind w:left="0" w:firstLine="851"/>
        <w:contextualSpacing/>
        <w:jc w:val="both"/>
        <w:rPr>
          <w:rFonts w:ascii="Times New Roman" w:hAnsi="Times New Roman" w:cs="Times New Roman"/>
          <w:sz w:val="24"/>
          <w:szCs w:val="24"/>
        </w:rPr>
      </w:pPr>
      <w:r>
        <w:rPr>
          <w:rFonts w:cs="Times New Roman" w:ascii="Times New Roman" w:hAnsi="Times New Roman"/>
          <w:sz w:val="24"/>
          <w:szCs w:val="24"/>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pPr>
        <w:pStyle w:val="Normal"/>
        <w:widowControl w:val="false"/>
        <w:spacing w:lineRule="auto" w:line="302"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Для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pPr>
        <w:pStyle w:val="Normal"/>
        <w:spacing w:lineRule="auto" w:line="302" w:before="0" w:after="0"/>
        <w:contextualSpacing/>
        <w:rPr/>
      </w:pPr>
      <w:r>
        <w:rPr/>
      </w:r>
      <w:bookmarkStart w:id="8" w:name="_Toc429747263"/>
      <w:bookmarkStart w:id="9" w:name="_Toc391565685"/>
      <w:bookmarkStart w:id="10" w:name="_Toc90308889"/>
      <w:bookmarkStart w:id="11" w:name="_Toc429747263"/>
      <w:bookmarkStart w:id="12" w:name="_Toc391565685"/>
      <w:bookmarkStart w:id="13" w:name="_Toc90308889"/>
      <w:bookmarkEnd w:id="11"/>
      <w:bookmarkEnd w:id="12"/>
      <w:bookmarkEnd w:id="13"/>
    </w:p>
    <w:p>
      <w:pPr>
        <w:pStyle w:val="Normal"/>
        <w:spacing w:lineRule="auto" w:line="302" w:before="0" w:after="0"/>
        <w:ind w:firstLine="851"/>
        <w:contextualSpacing/>
        <w:rPr>
          <w:rFonts w:ascii="Times New Roman" w:hAnsi="Times New Roman" w:cs="Times New Roman"/>
          <w:b/>
          <w:b/>
          <w:i/>
          <w:i/>
          <w:sz w:val="24"/>
          <w:szCs w:val="24"/>
        </w:rPr>
      </w:pPr>
      <w:r>
        <w:rPr>
          <w:rFonts w:cs="Times New Roman" w:ascii="Times New Roman" w:hAnsi="Times New Roman"/>
          <w:b/>
          <w:i/>
          <w:sz w:val="24"/>
          <w:szCs w:val="24"/>
        </w:rPr>
        <w:t>Земли сельскохозяйственного использования.</w:t>
      </w:r>
    </w:p>
    <w:p>
      <w:pPr>
        <w:pStyle w:val="Normal"/>
        <w:widowControl w:val="false"/>
        <w:spacing w:lineRule="auto" w:line="297"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агролесомелиоративными насаждениями, агрофитомелиоративными насаждениями, водными объектами (в том числе прудами, образованными водоподпорными сооружениями на водотоках и используемыми в целях осуществления прудовой аквакультуры), объектами капитального строительства, некапитальными строениями, сооружениями, используемыми для производства, хранения и первичной переработки сельскохозяйственной продукции, нестационарными торговыми объектами, а также жилыми домами, строительство, реконструкция и эксплуатация которых допускаются на земельных участках, используемых крестьянскими (фермерскими) хозяйствами для осуществления своей деятельности, либо на земельных участках, предназначенных для ведения гражданами садоводства для собственных нужд.</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97" w:before="0" w:after="0"/>
        <w:ind w:firstLine="851"/>
        <w:contextualSpacing/>
        <w:jc w:val="both"/>
        <w:rPr>
          <w:rFonts w:ascii="Times New Roman" w:hAnsi="Times New Roman" w:cs="Times New Roman"/>
          <w:b/>
          <w:b/>
          <w:i/>
          <w:i/>
          <w:sz w:val="24"/>
        </w:rPr>
      </w:pPr>
      <w:r>
        <w:rPr>
          <w:rFonts w:cs="Times New Roman" w:ascii="Times New Roman" w:hAnsi="Times New Roman"/>
          <w:b/>
          <w:i/>
          <w:sz w:val="24"/>
        </w:rPr>
        <w:t>Зоны рекреационного назначения</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К землям рекреационного назначения относятся земли, предназначенные и используемые для организации отдыха, туризма, физкультурно-оздоровительной и спортивной деятельности граждан.</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В состав земель рекреационного назначения входят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детские туристические станции, туристские парки, учебно-туристические тропы, трассы, детские и спортивные лагеря, другие аналогичные объекты.</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Проектом Генерального плана предусмотрено включение земельного участка с кадастровым номером 13:15:0103001:293 в зону рекреационного назначения.</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Таблица 2.10.1 Сведения о планируемой зоне</w:t>
      </w:r>
    </w:p>
    <w:tbl>
      <w:tblPr>
        <w:tblStyle w:val="af5"/>
        <w:tblW w:w="9769" w:type="dxa"/>
        <w:jc w:val="left"/>
        <w:tblInd w:w="0" w:type="dxa"/>
        <w:tblCellMar>
          <w:top w:w="0" w:type="dxa"/>
          <w:left w:w="108" w:type="dxa"/>
          <w:bottom w:w="0" w:type="dxa"/>
          <w:right w:w="108" w:type="dxa"/>
        </w:tblCellMar>
        <w:tblLook w:firstRow="1" w:noVBand="1" w:lastRow="0" w:firstColumn="1" w:lastColumn="0" w:noHBand="0" w:val="04a0"/>
      </w:tblPr>
      <w:tblGrid>
        <w:gridCol w:w="2442"/>
        <w:gridCol w:w="2440"/>
        <w:gridCol w:w="2442"/>
        <w:gridCol w:w="2444"/>
      </w:tblGrid>
      <w:tr>
        <w:trPr/>
        <w:tc>
          <w:tcPr>
            <w:tcW w:w="2442" w:type="dxa"/>
            <w:tcBorders/>
            <w:shd w:fill="auto" w:val="clear"/>
          </w:tcPr>
          <w:p>
            <w:pPr>
              <w:pStyle w:val="Normal"/>
              <w:spacing w:lineRule="auto" w:line="240" w:before="0" w:after="200"/>
              <w:contextualSpacing/>
              <w:jc w:val="both"/>
              <w:rPr>
                <w:rFonts w:ascii="Times New Roman" w:hAnsi="Times New Roman"/>
              </w:rPr>
            </w:pPr>
            <w:r>
              <w:rPr>
                <w:rFonts w:eastAsia="Times New Roman" w:cs="Times New Roman" w:ascii="Times New Roman" w:hAnsi="Times New Roman"/>
                <w:sz w:val="20"/>
                <w:szCs w:val="20"/>
              </w:rPr>
              <w:t>Наименование зоны</w:t>
            </w:r>
          </w:p>
        </w:tc>
        <w:tc>
          <w:tcPr>
            <w:tcW w:w="2440" w:type="dxa"/>
            <w:tcBorders/>
            <w:shd w:fill="auto" w:val="clear"/>
          </w:tcPr>
          <w:p>
            <w:pPr>
              <w:pStyle w:val="Normal"/>
              <w:spacing w:lineRule="auto" w:line="240" w:before="0" w:after="200"/>
              <w:contextualSpacing/>
              <w:jc w:val="both"/>
              <w:rPr>
                <w:rFonts w:ascii="Times New Roman" w:hAnsi="Times New Roman"/>
              </w:rPr>
            </w:pPr>
            <w:r>
              <w:rPr>
                <w:rFonts w:eastAsia="Times New Roman" w:cs="Times New Roman" w:ascii="Times New Roman" w:hAnsi="Times New Roman"/>
                <w:sz w:val="20"/>
                <w:szCs w:val="20"/>
              </w:rPr>
              <w:t>Кадастровый номер</w:t>
            </w:r>
          </w:p>
        </w:tc>
        <w:tc>
          <w:tcPr>
            <w:tcW w:w="2442" w:type="dxa"/>
            <w:tcBorders/>
            <w:shd w:fill="auto" w:val="clear"/>
          </w:tcPr>
          <w:p>
            <w:pPr>
              <w:pStyle w:val="Normal"/>
              <w:spacing w:lineRule="auto" w:line="240" w:before="0" w:after="200"/>
              <w:contextualSpacing/>
              <w:jc w:val="both"/>
              <w:rPr>
                <w:rFonts w:ascii="Times New Roman" w:hAnsi="Times New Roman"/>
              </w:rPr>
            </w:pPr>
            <w:r>
              <w:rPr>
                <w:rFonts w:eastAsia="Times New Roman" w:cs="Times New Roman" w:ascii="Times New Roman" w:hAnsi="Times New Roman"/>
                <w:sz w:val="20"/>
                <w:szCs w:val="20"/>
              </w:rPr>
              <w:t xml:space="preserve">Площадь </w:t>
            </w:r>
          </w:p>
        </w:tc>
        <w:tc>
          <w:tcPr>
            <w:tcW w:w="2444" w:type="dxa"/>
            <w:tcBorders/>
            <w:shd w:fill="auto" w:val="clear"/>
          </w:tcPr>
          <w:p>
            <w:pPr>
              <w:pStyle w:val="Normal"/>
              <w:spacing w:lineRule="auto" w:line="240" w:before="0" w:after="200"/>
              <w:contextualSpacing/>
              <w:jc w:val="both"/>
              <w:rPr>
                <w:rFonts w:ascii="Times New Roman" w:hAnsi="Times New Roman"/>
              </w:rPr>
            </w:pPr>
            <w:r>
              <w:rPr>
                <w:rFonts w:eastAsia="Times New Roman" w:cs="Times New Roman" w:ascii="Times New Roman" w:hAnsi="Times New Roman"/>
                <w:sz w:val="20"/>
                <w:szCs w:val="20"/>
              </w:rPr>
              <w:t xml:space="preserve">Планируемое Назначение </w:t>
            </w:r>
          </w:p>
        </w:tc>
      </w:tr>
      <w:tr>
        <w:trPr/>
        <w:tc>
          <w:tcPr>
            <w:tcW w:w="2442" w:type="dxa"/>
            <w:tcBorders/>
            <w:shd w:fill="auto" w:val="clear"/>
          </w:tcPr>
          <w:p>
            <w:pPr>
              <w:pStyle w:val="Normal"/>
              <w:spacing w:lineRule="auto" w:line="240" w:before="0" w:after="200"/>
              <w:contextualSpacing/>
              <w:jc w:val="center"/>
              <w:rPr>
                <w:rFonts w:ascii="Times New Roman" w:hAnsi="Times New Roman"/>
              </w:rPr>
            </w:pPr>
            <w:r>
              <w:rPr>
                <w:rFonts w:eastAsia="Times New Roman" w:cs="Times New Roman" w:ascii="Times New Roman" w:hAnsi="Times New Roman"/>
                <w:sz w:val="20"/>
                <w:szCs w:val="20"/>
              </w:rPr>
              <w:t>Зона рекреационного назначения</w:t>
            </w:r>
          </w:p>
        </w:tc>
        <w:tc>
          <w:tcPr>
            <w:tcW w:w="2440" w:type="dxa"/>
            <w:tcBorders/>
            <w:shd w:fill="auto" w:val="clear"/>
          </w:tcPr>
          <w:p>
            <w:pPr>
              <w:pStyle w:val="Normal"/>
              <w:spacing w:lineRule="auto" w:line="240" w:before="0" w:after="200"/>
              <w:contextualSpacing/>
              <w:jc w:val="center"/>
              <w:rPr>
                <w:rFonts w:ascii="Times New Roman" w:hAnsi="Times New Roman"/>
              </w:rPr>
            </w:pPr>
            <w:r>
              <w:rPr>
                <w:rFonts w:eastAsia="Times New Roman" w:cs="Times New Roman" w:ascii="Times New Roman" w:hAnsi="Times New Roman"/>
                <w:sz w:val="20"/>
                <w:szCs w:val="20"/>
              </w:rPr>
              <w:t>13:15:0103001:293</w:t>
            </w:r>
          </w:p>
        </w:tc>
        <w:tc>
          <w:tcPr>
            <w:tcW w:w="2442" w:type="dxa"/>
            <w:tcBorders/>
            <w:shd w:fill="auto" w:val="clear"/>
          </w:tcPr>
          <w:p>
            <w:pPr>
              <w:pStyle w:val="Normal"/>
              <w:spacing w:lineRule="auto" w:line="240" w:before="0" w:after="200"/>
              <w:contextualSpacing/>
              <w:jc w:val="center"/>
              <w:rPr>
                <w:rFonts w:ascii="Times New Roman" w:hAnsi="Times New Roman"/>
              </w:rPr>
            </w:pPr>
            <w:r>
              <w:rPr>
                <w:rFonts w:eastAsia="Times New Roman" w:cs="Times New Roman" w:ascii="Times New Roman" w:hAnsi="Times New Roman"/>
                <w:sz w:val="20"/>
                <w:szCs w:val="20"/>
              </w:rPr>
              <w:t>69506</w:t>
            </w:r>
          </w:p>
        </w:tc>
        <w:tc>
          <w:tcPr>
            <w:tcW w:w="2444" w:type="dxa"/>
            <w:tcBorders/>
            <w:shd w:fill="auto" w:val="clear"/>
          </w:tcPr>
          <w:p>
            <w:pPr>
              <w:pStyle w:val="Normal"/>
              <w:spacing w:lineRule="auto" w:line="240" w:before="0" w:after="200"/>
              <w:contextualSpacing/>
              <w:jc w:val="center"/>
              <w:rPr>
                <w:rFonts w:ascii="Times New Roman" w:hAnsi="Times New Roman"/>
              </w:rPr>
            </w:pPr>
            <w:r>
              <w:rPr>
                <w:rFonts w:eastAsia="Times New Roman" w:cs="Times New Roman" w:ascii="Times New Roman" w:hAnsi="Times New Roman"/>
                <w:sz w:val="20"/>
                <w:szCs w:val="20"/>
              </w:rPr>
              <w:t>Агротуризм</w:t>
            </w:r>
          </w:p>
        </w:tc>
      </w:tr>
    </w:tbl>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97" w:before="0" w:after="0"/>
        <w:ind w:firstLine="851"/>
        <w:contextualSpacing/>
        <w:jc w:val="both"/>
        <w:rPr>
          <w:rFonts w:ascii="Times New Roman" w:hAnsi="Times New Roman" w:cs="Times New Roman"/>
          <w:b/>
          <w:b/>
          <w:color w:val="365F91" w:themeColor="accent1" w:themeShade="bf"/>
          <w:sz w:val="24"/>
          <w:szCs w:val="24"/>
          <w:lang w:eastAsia="ar-SA"/>
        </w:rPr>
      </w:pPr>
      <w:r>
        <w:rPr>
          <w:rFonts w:cs="Times New Roman" w:ascii="Times New Roman" w:hAnsi="Times New Roman"/>
          <w:b/>
          <w:color w:val="365F91" w:themeColor="accent1" w:themeShade="bf"/>
          <w:sz w:val="24"/>
          <w:szCs w:val="24"/>
          <w:lang w:eastAsia="ar-SA"/>
        </w:rPr>
        <w:t>3. Оценка возможного влияния планируемых для размещения объектов местного значения сельского поселения на комплексное развитие этих территорий</w:t>
      </w:r>
    </w:p>
    <w:p>
      <w:pPr>
        <w:pStyle w:val="Normal"/>
        <w:widowControl w:val="false"/>
        <w:spacing w:lineRule="auto" w:line="297"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r>
    </w:p>
    <w:p>
      <w:pPr>
        <w:pStyle w:val="Normal"/>
        <w:widowControl w:val="false"/>
        <w:spacing w:lineRule="auto" w:line="297"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сельских поселений, городских округов п. 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pPr>
        <w:pStyle w:val="Normal"/>
        <w:widowControl w:val="false"/>
        <w:spacing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t>Реализация мероприятий по реконструкции объектов местного значения оказывает непосредственное положительное влияние на повышение комфортности сельского поселения,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pPr>
        <w:pStyle w:val="Normal"/>
        <w:widowControl w:val="false"/>
        <w:spacing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t xml:space="preserve">На территории Татарско-Тавлинского сельского поселения не планируется реконструкция объектов местного значения. </w:t>
      </w:r>
    </w:p>
    <w:p>
      <w:pPr>
        <w:pStyle w:val="Normal"/>
        <w:widowControl w:val="false"/>
        <w:spacing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сельского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szCs w:val="24"/>
        </w:rPr>
        <w:t>Согласно Схеме территориального планирования Республики Мордовия, утвержденной Постановлением № 74 от 29.01.2024 г. «О внесении изменений в Схему территориального планирования Республики Мордовия»</w:t>
      </w:r>
      <w:r>
        <w:rPr>
          <w:rFonts w:cs="Times New Roman" w:ascii="Times New Roman" w:hAnsi="Times New Roman"/>
          <w:sz w:val="24"/>
        </w:rPr>
        <w:t xml:space="preserve"> </w:t>
      </w:r>
      <w:r>
        <w:rPr>
          <w:rFonts w:cs="Times New Roman" w:ascii="Times New Roman" w:hAnsi="Times New Roman"/>
          <w:sz w:val="24"/>
          <w:szCs w:val="24"/>
        </w:rPr>
        <w:t>планируемые (реконструируемые) объекты федерального значения на территории</w:t>
      </w:r>
      <w:r>
        <w:rPr>
          <w:rFonts w:eastAsia="" w:cs="Times New Roman" w:ascii="Times New Roman" w:hAnsi="Times New Roman" w:eastAsiaTheme="majorEastAsia"/>
          <w:sz w:val="24"/>
          <w:szCs w:val="24"/>
        </w:rPr>
        <w:t xml:space="preserve"> Татарско-Тавлинского сельского поселения Лямбирского муниципального района Республики Мордовия – отсутствуют.</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сельского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pPr>
        <w:pStyle w:val="Normal"/>
        <w:spacing w:lineRule="auto" w:line="360" w:before="0" w:after="0"/>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36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Согласно Схеме территориального планирования Лямбирского муниципального района Республики Мордовия, утвержденной Решением Совета депутатов от 30 августа 2012 г. №73 «Об утверждении Схемы территориального планирования Лямбирского муниципального района Республики Мордовия» на территории Татарско-Тавлинского сельского поселения в настоящее время не планируется размещение объектов местного значения.</w:t>
      </w:r>
    </w:p>
    <w:p>
      <w:pPr>
        <w:pStyle w:val="Normal"/>
        <w:spacing w:lineRule="auto" w:line="271" w:before="0" w:after="0"/>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71" w:before="0" w:after="0"/>
        <w:ind w:firstLine="851"/>
        <w:contextualSpacing/>
        <w:jc w:val="both"/>
        <w:rPr>
          <w:rFonts w:ascii="Times New Roman" w:hAnsi="Times New Roman" w:cs="Times New Roman"/>
          <w:b/>
          <w:b/>
          <w:color w:val="365F91" w:themeColor="accent1" w:themeShade="bf"/>
          <w:sz w:val="24"/>
          <w:szCs w:val="24"/>
        </w:rPr>
      </w:pPr>
      <w:bookmarkStart w:id="14" w:name="_Toc372725388"/>
      <w:bookmarkStart w:id="15" w:name="_Toc286845498"/>
      <w:bookmarkStart w:id="16" w:name="_Toc282535542"/>
      <w:bookmarkStart w:id="17" w:name="_Toc256404275"/>
      <w:bookmarkStart w:id="18" w:name="_Toc239498983"/>
      <w:r>
        <w:rPr>
          <w:rFonts w:cs="Times New Roman" w:ascii="Times New Roman" w:hAnsi="Times New Roman"/>
          <w:b/>
          <w:color w:val="365F91" w:themeColor="accent1" w:themeShade="bf"/>
          <w:sz w:val="24"/>
          <w:szCs w:val="24"/>
        </w:rPr>
        <w:t>6. Перечень и характеристика основных факторов риска возникновения чрезвычайных ситуаций природного и техногенного характера</w:t>
      </w:r>
    </w:p>
    <w:p>
      <w:pPr>
        <w:pStyle w:val="Normal"/>
        <w:spacing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r>
    </w:p>
    <w:p>
      <w:pPr>
        <w:pStyle w:val="Normal"/>
        <w:spacing w:before="0" w:after="0"/>
        <w:ind w:firstLine="851"/>
        <w:contextualSpacing/>
        <w:jc w:val="both"/>
        <w:rPr>
          <w:rFonts w:ascii="Times New Roman" w:hAnsi="Times New Roman" w:cs="Times New Roman"/>
          <w:sz w:val="24"/>
          <w:szCs w:val="24"/>
        </w:rPr>
      </w:pPr>
      <w:bookmarkStart w:id="19" w:name="_Toc372725388"/>
      <w:bookmarkStart w:id="20" w:name="_Toc286845498"/>
      <w:bookmarkStart w:id="21" w:name="_Toc282535542"/>
      <w:bookmarkStart w:id="22" w:name="_Toc256404275"/>
      <w:bookmarkStart w:id="23" w:name="_Toc239498983"/>
      <w:r>
        <w:rPr>
          <w:rFonts w:cs="Times New Roman" w:ascii="Times New Roman" w:hAnsi="Times New Roman"/>
          <w:sz w:val="24"/>
          <w:szCs w:val="24"/>
        </w:rPr>
        <w:t xml:space="preserve">Данная глава выполнена в соответствии с требованиями Градостроительного кодекса РФ 2004 года (в актуальной редакции),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СП 42.13330.2016 «Градостроительство. </w:t>
      </w:r>
      <w:bookmarkEnd w:id="19"/>
      <w:bookmarkEnd w:id="20"/>
      <w:bookmarkEnd w:id="21"/>
      <w:bookmarkEnd w:id="22"/>
      <w:bookmarkEnd w:id="23"/>
      <w:r>
        <w:rPr>
          <w:rFonts w:cs="Times New Roman" w:ascii="Times New Roman" w:hAnsi="Times New Roman"/>
          <w:sz w:val="24"/>
          <w:szCs w:val="24"/>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Общее определение термина «безопасность» дано в Законе Российской Федерации «О безопасности», принятом 25 марта 1992 г., «под безопасностью Российской Федерации понимается качественное состояние общества и государства, при котором обеспечивается защита каждого человека, проживающего на территории Российской Федерации, его прав и гражданских свобод, а также надежность и устойчивость развития, защита ценностей, материальных и духовных источников жизнедеятельности, конституционного строя и государственного суверенитета, независимости и территориальной целостности от внутренних и внешних врагов».</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pPr>
        <w:pStyle w:val="ListParagraph"/>
        <w:numPr>
          <w:ilvl w:val="0"/>
          <w:numId w:val="17"/>
        </w:numPr>
        <w:spacing w:before="0" w:after="0"/>
        <w:ind w:left="0" w:firstLine="851"/>
        <w:contextualSpacing/>
        <w:jc w:val="both"/>
        <w:rPr>
          <w:rFonts w:ascii="Times New Roman" w:hAnsi="Times New Roman"/>
          <w:sz w:val="24"/>
          <w:szCs w:val="24"/>
        </w:rPr>
      </w:pPr>
      <w:r>
        <w:rPr>
          <w:rFonts w:ascii="Times New Roman" w:hAnsi="Times New Roman"/>
          <w:sz w:val="24"/>
          <w:szCs w:val="24"/>
        </w:rPr>
        <w:t>вероятностью возникновения техногенных аварий, катастроф, опасных природных явлений и возможным ущербом при этих событиях;</w:t>
      </w:r>
    </w:p>
    <w:p>
      <w:pPr>
        <w:pStyle w:val="ListParagraph"/>
        <w:numPr>
          <w:ilvl w:val="0"/>
          <w:numId w:val="17"/>
        </w:numPr>
        <w:spacing w:before="0" w:after="0"/>
        <w:ind w:left="0" w:firstLine="851"/>
        <w:contextualSpacing/>
        <w:jc w:val="both"/>
        <w:rPr>
          <w:rFonts w:ascii="Times New Roman" w:hAnsi="Times New Roman"/>
          <w:sz w:val="24"/>
          <w:szCs w:val="24"/>
        </w:rPr>
      </w:pPr>
      <w:r>
        <w:rPr>
          <w:rFonts w:ascii="Times New Roman" w:hAnsi="Times New Roman"/>
          <w:sz w:val="24"/>
          <w:szCs w:val="24"/>
        </w:rPr>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pPr>
        <w:pStyle w:val="ListParagraph"/>
        <w:numPr>
          <w:ilvl w:val="0"/>
          <w:numId w:val="17"/>
        </w:numPr>
        <w:spacing w:before="0" w:after="0"/>
        <w:ind w:left="0" w:firstLine="851"/>
        <w:contextualSpacing/>
        <w:jc w:val="both"/>
        <w:rPr>
          <w:rFonts w:ascii="Times New Roman" w:hAnsi="Times New Roman"/>
          <w:sz w:val="24"/>
          <w:szCs w:val="24"/>
        </w:rPr>
      </w:pPr>
      <w:r>
        <w:rPr>
          <w:rFonts w:ascii="Times New Roman" w:hAnsi="Times New Roman"/>
          <w:sz w:val="24"/>
          <w:szCs w:val="24"/>
        </w:rPr>
        <w:t>вероятностью перерастания экологической обстановки в катастрофическую обстановку и возникновением чрезвычайной ситуации.</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На основании ФЗ «О защите населения и территорий от чрезвычайных ситуаций природного и техногенного характера» от 21 декабря 1994 года № 68-ФЗ «чрезвычайная ситуация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Чрезвычайная ситуация (ЧС) –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Каждая ЧС имеет свою физическую сущность, свои, только ей присущие причины возникновения, движущие силы, характер и стадии развития, свои особенности воздействия на человека и среду его обитания. Основными понятиями и определениями в данной области являются: риск возникновения и источник ЧС.</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втором-риск ухудшения здоровья человека, негативных изменений в окружающей среде при не экстремальных условиях, в последнем - риск возникновения чрезвычайной ситуации экологического характера.</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соответствии с современными взглядами, риск обычно интерпретируется как вероятностная мера возникновения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bookmarkStart w:id="24" w:name="_Toc372725389"/>
      <w:bookmarkStart w:id="25" w:name="_Toc286845499"/>
      <w:bookmarkStart w:id="26" w:name="_Toc282535543"/>
      <w:bookmarkStart w:id="27" w:name="_Toc256404276"/>
      <w:bookmarkStart w:id="28" w:name="_Toc239498984"/>
      <w:bookmarkEnd w:id="24"/>
      <w:bookmarkEnd w:id="25"/>
      <w:bookmarkEnd w:id="26"/>
      <w:bookmarkEnd w:id="27"/>
      <w:bookmarkEnd w:id="28"/>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Определение ЧС служит базовым при решении вопросов классифика</w:t>
        <w:softHyphen/>
        <w:t>ции ЧС по характеру возникновения - природного и техногенного характера:</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Техногенные – в результате производственных аварий и катастроф на объектах, магистралях, сетях, взрывов на объектах, пожаров, определенной территории или акватории нарушаются нормальные условия жизни и деятельности людей, возникает загрязнения местности СДЯВ, ОВ, биологическими и радиоактивными веществами, угроза их жизни и здоровью, наносится ущерб имуществу населения, народному хозяйству и окружающей природной среде.</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 xml:space="preserve">Природные – в результате опасных природных явлений: гидрометеорологических или гидрогеоморфологических, которые еще называют стихийными бедствиями и могут повлечь за собой человеческие жертвы, нарушение условий жизнедеятельности населения. </w:t>
      </w:r>
    </w:p>
    <w:p>
      <w:pPr>
        <w:pStyle w:val="Normal"/>
        <w:spacing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Для практических нужд общую классификацию ЧС строят по типам и видам лежащих в основе чрезвычайных событий. Она наиболее обобщающая, т.к. раскрывает сущность явлений, происходящих при чрезвычайных событиях. Важной является также классификация, построенная по масштабу распространения чрезвычайных событий.</w:t>
      </w:r>
    </w:p>
    <w:p>
      <w:pPr>
        <w:pStyle w:val="Normal"/>
        <w:spacing w:before="0" w:after="0"/>
        <w:ind w:firstLine="851"/>
        <w:contextualSpacing/>
        <w:jc w:val="both"/>
        <w:rPr>
          <w:rFonts w:ascii="Times New Roman" w:hAnsi="Times New Roman" w:cs="Times New Roman"/>
          <w:i/>
          <w:i/>
          <w:sz w:val="24"/>
        </w:rPr>
      </w:pPr>
      <w:r>
        <w:rPr>
          <w:rFonts w:cs="Times New Roman" w:ascii="Times New Roman" w:hAnsi="Times New Roman"/>
          <w:i/>
          <w:sz w:val="24"/>
        </w:rPr>
        <w:t>Основные понятия: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Опасное природное явление</w:t>
      </w:r>
      <w:r>
        <w:rPr>
          <w:rFonts w:cs="Times New Roman" w:ascii="Times New Roman" w:hAnsi="Times New Roman"/>
          <w:sz w:val="24"/>
        </w:rPr>
        <w:t> – стихийное событие природного происхождения, которое по своей интенсивности, масштабу распространения или продолжительности может вызвать отрицательные последствия для жизнедеятельности людей, экономики и природной среды.</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Стихийное бедствие</w:t>
      </w:r>
      <w:r>
        <w:rPr>
          <w:rFonts w:cs="Times New Roman" w:ascii="Times New Roman" w:hAnsi="Times New Roman"/>
          <w:sz w:val="24"/>
        </w:rPr>
        <w:t xml:space="preserve"> – катастрофическое природное явление (или процесс), которое может вызвать многочисленные человеческие жертвы, зна</w:t>
        <w:softHyphen/>
        <w:t>чительный материальный ущерб и другие тяжелые последствия.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Зона чрезвычайной ситуации</w:t>
      </w:r>
      <w:r>
        <w:rPr>
          <w:rFonts w:cs="Times New Roman" w:ascii="Times New Roman" w:hAnsi="Times New Roman"/>
          <w:sz w:val="24"/>
        </w:rPr>
        <w:t xml:space="preserve"> – это территория, на которой сложилась чрезвычайная ситуация.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Источник техногенной чрезвычайной ситуации</w:t>
      </w:r>
      <w:r>
        <w:rPr>
          <w:rFonts w:cs="Times New Roman" w:ascii="Times New Roman" w:hAnsi="Times New Roman"/>
          <w:sz w:val="24"/>
        </w:rPr>
        <w:t xml:space="preserve">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 xml:space="preserve">Авария </w:t>
      </w:r>
      <w:r>
        <w:rPr>
          <w:rFonts w:cs="Times New Roman" w:ascii="Times New Roman" w:hAnsi="Times New Roman"/>
          <w:sz w:val="24"/>
        </w:rPr>
        <w:t xml:space="preserve">–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Крупная авария, как правило с человеческими жертвами, является катастрофой.</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Техногенная опасность</w:t>
      </w:r>
      <w:r>
        <w:rPr>
          <w:rFonts w:cs="Times New Roman" w:ascii="Times New Roman" w:hAnsi="Times New Roman"/>
          <w:sz w:val="24"/>
        </w:rPr>
        <w:t xml:space="preserve"> – состояние, внутренне присущее технической системе, промышленному или транспортному объекту, реализуемое в виде поражающих воздействий источника техногенной чрезвычайной ситуации на человека и окружающую среду при его возникновении, либо в виде прямого или косвенного ущерба для человека и окружающей среды в процессе нормальной эксплуатации этих объектов.</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Поражающий фактор источника техногенной чрезвычайной                                           ситуации</w:t>
      </w:r>
      <w:r>
        <w:rPr>
          <w:rFonts w:cs="Times New Roman" w:ascii="Times New Roman" w:hAnsi="Times New Roman"/>
          <w:sz w:val="24"/>
        </w:rPr>
        <w:t xml:space="preserve"> – составляющая опасного происшествия,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Поражающее воздействие источника техногенной чрезвычайной                                          ситуации</w:t>
      </w:r>
      <w:r>
        <w:rPr>
          <w:rFonts w:cs="Times New Roman" w:ascii="Times New Roman" w:hAnsi="Times New Roman"/>
          <w:sz w:val="24"/>
        </w:rPr>
        <w:t xml:space="preserve"> – негативное влияние одного или совокупности поражающих факторов источника техногенной чрезвычайной ситуации на жизнь и здоровье людей, на сельскохозяйственных животных и растения, объекты народного хозяйства и окружающую природную среду.</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Потенциально опасный объект</w:t>
      </w:r>
      <w:r>
        <w:rPr>
          <w:rFonts w:cs="Times New Roman" w:ascii="Times New Roman" w:hAnsi="Times New Roman"/>
          <w:sz w:val="24"/>
        </w:rPr>
        <w:t xml:space="preserve"> – по ГОСТ Р 22.0.02.</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Химически опасный объект (ХОО)</w:t>
      </w:r>
      <w:r>
        <w:rPr>
          <w:rFonts w:cs="Times New Roman" w:ascii="Times New Roman" w:hAnsi="Times New Roman"/>
          <w:sz w:val="24"/>
        </w:rPr>
        <w:t xml:space="preserve">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Опасное химическое вещество</w:t>
      </w:r>
      <w:r>
        <w:rPr>
          <w:rFonts w:cs="Times New Roman" w:ascii="Times New Roman" w:hAnsi="Times New Roman"/>
          <w:sz w:val="24"/>
        </w:rPr>
        <w:t xml:space="preserve">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Взрывопожароопасный объект (ВПОО)</w:t>
      </w:r>
      <w:r>
        <w:rPr>
          <w:rFonts w:cs="Times New Roman" w:ascii="Times New Roman" w:hAnsi="Times New Roman"/>
          <w:sz w:val="24"/>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Гидродинамические опасные объекты</w:t>
      </w:r>
      <w:r>
        <w:rPr>
          <w:rFonts w:cs="Times New Roman" w:ascii="Times New Roman" w:hAnsi="Times New Roman"/>
          <w:sz w:val="24"/>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Потенциально опасное вещество, опасное вещество</w:t>
      </w:r>
      <w:r>
        <w:rPr>
          <w:rFonts w:cs="Times New Roman" w:ascii="Times New Roman" w:hAnsi="Times New Roman"/>
          <w:sz w:val="24"/>
        </w:rPr>
        <w:t xml:space="preserve"> – вещество, которое вследствие своих физических, химических, биологических или токсикологических свойств предопределяет собой опасность для жизни и здоровья людей, для сельскохозяйственных животных и растений.</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Предельно допустимая концентрация опасного вещества; ПДК</w:t>
      </w:r>
      <w:r>
        <w:rPr>
          <w:rFonts w:cs="Times New Roman" w:ascii="Times New Roman" w:hAnsi="Times New Roman"/>
          <w:sz w:val="24"/>
        </w:rPr>
        <w:t xml:space="preserve"> – максимальное количество опасных веществ в почве, воздушной или водной среде, продовольствии, пищевом сырье и кормах, измеряемое в единице объема или массы, которое при постоянном контакте с человеком или при воздействии на него за определенный промежуток времени практически не влияет на здоровье людей и не вызывает неблагоприятных последствий.</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Зона заражения</w:t>
      </w:r>
      <w:r>
        <w:rPr>
          <w:rFonts w:cs="Times New Roman" w:ascii="Times New Roman" w:hAnsi="Times New Roman"/>
          <w:sz w:val="24"/>
        </w:rPr>
        <w:t xml:space="preserve"> – территория или акватория, в пределах которой распространены или куда привнесены опасные химические и биологические вещества в количествах, создающих опасность для людей, сельскохозяйственных животных и растений в течение определенного времени. Выделяют зоны химического и биологического заражения.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Промышленная авария</w:t>
      </w:r>
      <w:r>
        <w:rPr>
          <w:rFonts w:cs="Times New Roman" w:ascii="Times New Roman" w:hAnsi="Times New Roman"/>
          <w:sz w:val="24"/>
        </w:rPr>
        <w:t xml:space="preserve"> – авария на промышленном объекте, в технической системе или на промышленной установке.</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Гидродинамическая авария</w:t>
      </w:r>
      <w:r>
        <w:rPr>
          <w:rFonts w:cs="Times New Roman" w:ascii="Times New Roman" w:hAnsi="Times New Roman"/>
          <w:sz w:val="24"/>
        </w:rPr>
        <w:t xml:space="preserve"> – авария на гидротехническом сооружении, связанная с</w:t>
      </w:r>
    </w:p>
    <w:p>
      <w:pPr>
        <w:pStyle w:val="Normal"/>
        <w:spacing w:before="0" w:after="0"/>
        <w:contextualSpacing/>
        <w:jc w:val="both"/>
        <w:rPr>
          <w:rFonts w:ascii="Times New Roman" w:hAnsi="Times New Roman" w:cs="Times New Roman"/>
          <w:sz w:val="24"/>
        </w:rPr>
      </w:pPr>
      <w:r>
        <w:rPr>
          <w:rFonts w:cs="Times New Roman" w:ascii="Times New Roman" w:hAnsi="Times New Roman"/>
          <w:sz w:val="24"/>
        </w:rPr>
        <w:t>распространением с большой скоростью воды и создающая угрозу возникновения техногенной чрезвычайной ситуации.</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Пожарная безопасность</w:t>
      </w:r>
      <w:r>
        <w:rPr>
          <w:rFonts w:cs="Times New Roman" w:ascii="Times New Roman" w:hAnsi="Times New Roman"/>
          <w:sz w:val="24"/>
        </w:rPr>
        <w:t xml:space="preserve"> – состояние защищенности населения, объектов народного хозяйства и иного назначения, а также окружающей природной среды от опасных факторов и воздействий пожара.</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Противопожарное мероприятие</w:t>
      </w:r>
      <w:r>
        <w:rPr>
          <w:rFonts w:cs="Times New Roman" w:ascii="Times New Roman" w:hAnsi="Times New Roman"/>
          <w:sz w:val="24"/>
        </w:rPr>
        <w:t xml:space="preserve"> – мероприятие организационного и (или) технического характера, направленное на соблюдение противопожарного режима, создание условий для заблаговременного предотвращения и (или) быстрого тушения пожара.</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Транспортная авария</w:t>
      </w:r>
      <w:r>
        <w:rPr>
          <w:rFonts w:cs="Times New Roman" w:ascii="Times New Roman" w:hAnsi="Times New Roman"/>
          <w:sz w:val="24"/>
        </w:rPr>
        <w:t xml:space="preserve">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Транспортные аварии разделяют по видам транспорта, на котором они произошли, и (или) по поражающим факторам опасных грузов.</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Опасный ГРУ</w:t>
      </w:r>
      <w:r>
        <w:rPr>
          <w:rFonts w:cs="Times New Roman" w:ascii="Times New Roman" w:hAnsi="Times New Roman"/>
          <w:sz w:val="24"/>
        </w:rPr>
        <w:t xml:space="preserve"> – 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i/>
          <w:sz w:val="24"/>
        </w:rPr>
        <w:t>Железнодорожная аварии</w:t>
      </w:r>
      <w:r>
        <w:rPr>
          <w:rFonts w:cs="Times New Roman" w:ascii="Times New Roman" w:hAnsi="Times New Roman"/>
          <w:sz w:val="24"/>
        </w:rPr>
        <w:t xml:space="preserve"> – авария  на   железной    дороге,    повлекшая    за    собой</w:t>
      </w:r>
    </w:p>
    <w:p>
      <w:pPr>
        <w:pStyle w:val="Normal"/>
        <w:spacing w:lineRule="auto" w:line="280" w:before="0" w:after="0"/>
        <w:contextualSpacing/>
        <w:jc w:val="both"/>
        <w:rPr>
          <w:rFonts w:ascii="Times New Roman" w:hAnsi="Times New Roman" w:cs="Times New Roman"/>
          <w:sz w:val="24"/>
        </w:rPr>
      </w:pPr>
      <w:r>
        <w:rPr>
          <w:rFonts w:cs="Times New Roman" w:ascii="Times New Roman" w:hAnsi="Times New Roman"/>
          <w:sz w:val="24"/>
        </w:rPr>
        <w:t>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i/>
          <w:sz w:val="24"/>
        </w:rPr>
        <w:t>Безопасность дорожного движения</w:t>
      </w:r>
      <w:r>
        <w:rPr>
          <w:rFonts w:cs="Times New Roman" w:ascii="Times New Roman" w:hAnsi="Times New Roman"/>
          <w:sz w:val="24"/>
        </w:rPr>
        <w:t xml:space="preserve"> – состояние процесса дорожного движения, отражающее степень защищенности его участников и общества от дорожно-транспортных происшествий и их последствий.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i/>
          <w:sz w:val="24"/>
        </w:rPr>
        <w:t xml:space="preserve">Дорожно-транспортное происшествие; ДТП </w:t>
      </w:r>
      <w:r>
        <w:rPr>
          <w:rFonts w:cs="Times New Roman" w:ascii="Times New Roman" w:hAnsi="Times New Roman"/>
          <w:sz w:val="24"/>
        </w:rPr>
        <w:t>– 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i/>
          <w:sz w:val="24"/>
        </w:rPr>
        <w:t>Авария на магистральном трубопроводе; авария на трубопроводе</w:t>
      </w:r>
      <w:r>
        <w:rPr>
          <w:rFonts w:cs="Times New Roman" w:ascii="Times New Roman" w:hAnsi="Times New Roman"/>
          <w:sz w:val="24"/>
        </w:rPr>
        <w:t xml:space="preserve"> – авария на трассе трубопровода, связанная с выбросом и выливом под давлением опасных химических или пожаро-взрыво-опасных веществ, приводящая к возникновению техногенной чрезвычайной ситуации. В зависимости от вида транспортируемого продукта выделяют аварии на газопроводах, нефтепроводах и продуктопроводах.</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i/>
          <w:sz w:val="24"/>
        </w:rPr>
        <w:t>Авиационная катастрофа</w:t>
      </w:r>
      <w:r>
        <w:rPr>
          <w:rFonts w:cs="Times New Roman" w:ascii="Times New Roman" w:hAnsi="Times New Roman"/>
          <w:sz w:val="24"/>
        </w:rPr>
        <w:t xml:space="preserve"> – опасное происшествие на воздушном судне, в полете или в процессе эвакуации, приведшее к гибели или пропаже без вести людей, причинению пострадавшим телесных повреждений, разрушению или повреждению судна и перевозимых на нем материальных ценностей.</w:t>
      </w:r>
    </w:p>
    <w:p>
      <w:pPr>
        <w:pStyle w:val="Normal"/>
        <w:spacing w:lineRule="auto" w:line="290" w:before="0" w:after="0"/>
        <w:ind w:firstLine="851"/>
        <w:contextualSpacing/>
        <w:jc w:val="both"/>
        <w:rPr>
          <w:rFonts w:ascii="Times New Roman" w:hAnsi="Times New Roman" w:cs="Times New Roman"/>
          <w:sz w:val="24"/>
        </w:rPr>
      </w:pPr>
      <w:r>
        <w:rPr>
          <w:rFonts w:cs="Times New Roman" w:ascii="Times New Roman" w:hAnsi="Times New Roman"/>
          <w:i/>
          <w:sz w:val="24"/>
        </w:rPr>
        <w:t>Предупреждение чрезвычайных ситуаций</w:t>
      </w:r>
      <w:r>
        <w:rPr>
          <w:rFonts w:cs="Times New Roman" w:ascii="Times New Roman" w:hAnsi="Times New Roman"/>
          <w:sz w:val="24"/>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i/>
          <w:sz w:val="24"/>
        </w:rPr>
        <w:t>Ликвидация чрезвычайных ситуаций</w:t>
      </w:r>
      <w:r>
        <w:rPr>
          <w:rFonts w:cs="Times New Roman" w:ascii="Times New Roman" w:hAnsi="Times New Roman"/>
          <w:sz w:val="24"/>
        </w:rPr>
        <w:t xml:space="preserve">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t>Основными факторами риска возникновения чрезвычайных ситуаций являются опасности.</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i/>
          <w:sz w:val="24"/>
        </w:rPr>
        <w:t>Факторы опасности</w:t>
      </w:r>
      <w:r>
        <w:rPr>
          <w:rFonts w:cs="Times New Roman" w:ascii="Times New Roman" w:hAnsi="Times New Roman"/>
          <w:sz w:val="24"/>
        </w:rPr>
        <w:t xml:space="preserve">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t>В число таких факторов техногенной опасности, возникающих при авариях и катастрофах на взрыво-, пожаро-, радиационно-, химически опасных объектах и различного рода гидротехнических сооружениях, входят:</w:t>
      </w:r>
    </w:p>
    <w:p>
      <w:pPr>
        <w:pStyle w:val="Normal"/>
        <w:spacing w:lineRule="auto" w:line="292" w:before="0" w:after="0"/>
        <w:ind w:firstLine="851"/>
        <w:contextualSpacing/>
        <w:jc w:val="both"/>
        <w:rPr>
          <w:rFonts w:ascii="Times New Roman" w:hAnsi="Times New Roman" w:cs="Times New Roman"/>
          <w:i/>
          <w:i/>
          <w:sz w:val="24"/>
        </w:rPr>
      </w:pPr>
      <w:r>
        <w:rPr>
          <w:rFonts w:cs="Times New Roman" w:ascii="Times New Roman" w:hAnsi="Times New Roman"/>
          <w:i/>
          <w:sz w:val="24"/>
        </w:rPr>
        <w:t>а) термобарические и механические факторы:</w:t>
      </w:r>
    </w:p>
    <w:p>
      <w:pPr>
        <w:pStyle w:val="ListParagraph"/>
        <w:numPr>
          <w:ilvl w:val="0"/>
          <w:numId w:val="18"/>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распространение и воздействие на объекты окружающей среды волн избыточного давления (ударных волн) при взрывах;</w:t>
      </w:r>
    </w:p>
    <w:p>
      <w:pPr>
        <w:pStyle w:val="ListParagraph"/>
        <w:numPr>
          <w:ilvl w:val="0"/>
          <w:numId w:val="18"/>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распространение и воздействие на объекты окружающей</w:t>
      </w:r>
    </w:p>
    <w:p>
      <w:pPr>
        <w:pStyle w:val="Normal"/>
        <w:spacing w:lineRule="auto" w:line="292" w:before="0" w:after="0"/>
        <w:contextualSpacing/>
        <w:jc w:val="both"/>
        <w:rPr>
          <w:rFonts w:ascii="Times New Roman" w:hAnsi="Times New Roman"/>
          <w:sz w:val="24"/>
        </w:rPr>
      </w:pPr>
      <w:r>
        <w:rPr>
          <w:rFonts w:ascii="Times New Roman" w:hAnsi="Times New Roman"/>
          <w:sz w:val="24"/>
        </w:rPr>
        <w:t>среды тепловой радиации и конвективных тепловых потоков при пожарных и объемных взрывах;</w:t>
      </w:r>
    </w:p>
    <w:p>
      <w:pPr>
        <w:pStyle w:val="ListParagraph"/>
        <w:numPr>
          <w:ilvl w:val="0"/>
          <w:numId w:val="18"/>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полей осколков и воздействие разлетающихся осколков на объекты окружающей среды при взрывах;</w:t>
      </w:r>
    </w:p>
    <w:p>
      <w:pPr>
        <w:pStyle w:val="Normal"/>
        <w:spacing w:lineRule="auto" w:line="292" w:before="0" w:after="0"/>
        <w:ind w:firstLine="851"/>
        <w:contextualSpacing/>
        <w:jc w:val="both"/>
        <w:rPr>
          <w:rFonts w:ascii="Times New Roman" w:hAnsi="Times New Roman" w:cs="Times New Roman"/>
          <w:i/>
          <w:i/>
          <w:sz w:val="24"/>
        </w:rPr>
      </w:pPr>
      <w:r>
        <w:rPr>
          <w:rFonts w:cs="Times New Roman" w:ascii="Times New Roman" w:hAnsi="Times New Roman"/>
          <w:i/>
          <w:sz w:val="24"/>
        </w:rPr>
        <w:t>б) физические факторы:</w:t>
      </w:r>
    </w:p>
    <w:p>
      <w:pPr>
        <w:pStyle w:val="ListParagraph"/>
        <w:numPr>
          <w:ilvl w:val="0"/>
          <w:numId w:val="18"/>
        </w:numPr>
        <w:spacing w:lineRule="auto" w:line="292" w:before="0" w:after="0"/>
        <w:ind w:left="0" w:firstLine="1418"/>
        <w:contextualSpacing/>
        <w:jc w:val="both"/>
        <w:rPr>
          <w:rFonts w:ascii="Times New Roman" w:hAnsi="Times New Roman"/>
          <w:sz w:val="24"/>
        </w:rPr>
      </w:pPr>
      <w:r>
        <w:rPr>
          <w:rFonts w:ascii="Times New Roman" w:hAnsi="Times New Roman"/>
          <w:sz w:val="24"/>
        </w:rPr>
        <w:t>образование, распространение и воздействие на человека, и другие популяции электромагнитных полей, образующихся при различных авариях;</w:t>
      </w:r>
    </w:p>
    <w:p>
      <w:pPr>
        <w:pStyle w:val="Normal"/>
        <w:spacing w:lineRule="auto" w:line="292" w:before="0" w:after="0"/>
        <w:ind w:firstLine="851"/>
        <w:contextualSpacing/>
        <w:jc w:val="both"/>
        <w:rPr>
          <w:rFonts w:ascii="Times New Roman" w:hAnsi="Times New Roman" w:cs="Times New Roman"/>
          <w:i/>
          <w:i/>
          <w:sz w:val="24"/>
        </w:rPr>
      </w:pPr>
      <w:r>
        <w:rPr>
          <w:rFonts w:cs="Times New Roman" w:ascii="Times New Roman" w:hAnsi="Times New Roman"/>
          <w:i/>
          <w:sz w:val="24"/>
        </w:rPr>
        <w:t>в) химические факторы:</w:t>
      </w:r>
    </w:p>
    <w:p>
      <w:pPr>
        <w:pStyle w:val="ListParagraph"/>
        <w:numPr>
          <w:ilvl w:val="0"/>
          <w:numId w:val="19"/>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распространение и воздействие на объекты окружающей среды облака, загрязненного вредными химическими веществами воздуха;</w:t>
      </w:r>
    </w:p>
    <w:p>
      <w:pPr>
        <w:pStyle w:val="ListParagraph"/>
        <w:numPr>
          <w:ilvl w:val="0"/>
          <w:numId w:val="19"/>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зон химического загрязнения (заражения) территорий, акваторий и объектов;</w:t>
      </w:r>
    </w:p>
    <w:p>
      <w:pPr>
        <w:pStyle w:val="Normal"/>
        <w:spacing w:lineRule="auto" w:line="292" w:before="0" w:after="0"/>
        <w:ind w:firstLine="851"/>
        <w:contextualSpacing/>
        <w:jc w:val="both"/>
        <w:rPr>
          <w:rFonts w:ascii="Times New Roman" w:hAnsi="Times New Roman" w:cs="Times New Roman"/>
          <w:i/>
          <w:i/>
          <w:sz w:val="24"/>
        </w:rPr>
      </w:pPr>
      <w:r>
        <w:rPr>
          <w:rFonts w:cs="Times New Roman" w:ascii="Times New Roman" w:hAnsi="Times New Roman"/>
          <w:i/>
          <w:sz w:val="24"/>
        </w:rPr>
        <w:t>г) радиационные факторы:</w:t>
      </w:r>
    </w:p>
    <w:p>
      <w:pPr>
        <w:pStyle w:val="ListParagraph"/>
        <w:numPr>
          <w:ilvl w:val="0"/>
          <w:numId w:val="20"/>
        </w:numPr>
        <w:spacing w:lineRule="auto" w:line="292" w:before="0" w:after="0"/>
        <w:ind w:left="0" w:firstLine="1418"/>
        <w:contextualSpacing/>
        <w:jc w:val="both"/>
        <w:rPr>
          <w:rFonts w:ascii="Times New Roman" w:hAnsi="Times New Roman"/>
          <w:sz w:val="24"/>
        </w:rPr>
      </w:pPr>
      <w:r>
        <w:rPr>
          <w:rFonts w:ascii="Times New Roman" w:hAnsi="Times New Roman"/>
          <w:sz w:val="24"/>
        </w:rPr>
        <w:t>образование и воздействие на объекты окружающей среды радиационных полей из зоны аварии на объекте с ядерной технологией;</w:t>
      </w:r>
    </w:p>
    <w:p>
      <w:pPr>
        <w:pStyle w:val="ListParagraph"/>
        <w:numPr>
          <w:ilvl w:val="0"/>
          <w:numId w:val="20"/>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распространение и воздействие на объекты окружающей среды радиоактивных облаков, источником которых является аварийный объект с ядерной технологией;</w:t>
      </w:r>
    </w:p>
    <w:p>
      <w:pPr>
        <w:pStyle w:val="ListParagraph"/>
        <w:numPr>
          <w:ilvl w:val="0"/>
          <w:numId w:val="21"/>
        </w:numPr>
        <w:spacing w:lineRule="auto" w:line="292" w:before="0" w:after="0"/>
        <w:ind w:left="0" w:firstLine="1418"/>
        <w:contextualSpacing/>
        <w:jc w:val="both"/>
        <w:rPr>
          <w:rFonts w:ascii="Times New Roman" w:hAnsi="Times New Roman"/>
          <w:sz w:val="24"/>
        </w:rPr>
      </w:pPr>
      <w:r>
        <w:rPr>
          <w:rFonts w:ascii="Times New Roman" w:hAnsi="Times New Roman"/>
          <w:sz w:val="24"/>
        </w:rPr>
        <w:t>формирование зон радиоактивного загрязнения (заражения) территорий, акваторий и объектов;</w:t>
      </w:r>
    </w:p>
    <w:p>
      <w:pPr>
        <w:pStyle w:val="Normal"/>
        <w:spacing w:lineRule="auto" w:line="292" w:before="0" w:after="0"/>
        <w:ind w:firstLine="1418"/>
        <w:contextualSpacing/>
        <w:jc w:val="both"/>
        <w:rPr>
          <w:rFonts w:ascii="Times New Roman" w:hAnsi="Times New Roman" w:cs="Times New Roman"/>
          <w:sz w:val="24"/>
        </w:rPr>
      </w:pPr>
      <w:r>
        <w:rPr>
          <w:rFonts w:cs="Times New Roman" w:ascii="Times New Roman" w:hAnsi="Times New Roman"/>
          <w:i/>
          <w:sz w:val="24"/>
        </w:rPr>
        <w:t>д) гидродинамические факторы, возникающие при разрушении гидротехнических</w:t>
      </w:r>
    </w:p>
    <w:p>
      <w:pPr>
        <w:pStyle w:val="Normal"/>
        <w:spacing w:lineRule="auto" w:line="292" w:before="0" w:after="0"/>
        <w:contextualSpacing/>
        <w:jc w:val="both"/>
        <w:rPr>
          <w:rFonts w:ascii="Times New Roman" w:hAnsi="Times New Roman" w:cs="Times New Roman"/>
          <w:i/>
          <w:i/>
          <w:sz w:val="24"/>
        </w:rPr>
      </w:pPr>
      <w:r>
        <w:rPr>
          <w:rFonts w:cs="Times New Roman" w:ascii="Times New Roman" w:hAnsi="Times New Roman"/>
          <w:i/>
          <w:sz w:val="24"/>
        </w:rPr>
        <w:t>сооружений напорного фронта (плотин, гидроузлов, запруд) и естественных плотин:</w:t>
      </w:r>
    </w:p>
    <w:p>
      <w:pPr>
        <w:pStyle w:val="ListParagraph"/>
        <w:numPr>
          <w:ilvl w:val="0"/>
          <w:numId w:val="22"/>
        </w:numPr>
        <w:spacing w:lineRule="auto" w:line="292" w:before="0" w:after="0"/>
        <w:ind w:left="0" w:firstLine="1418"/>
        <w:contextualSpacing/>
        <w:jc w:val="both"/>
        <w:rPr>
          <w:rFonts w:ascii="Times New Roman" w:hAnsi="Times New Roman"/>
          <w:sz w:val="24"/>
        </w:rPr>
      </w:pPr>
      <w:r>
        <w:rPr>
          <w:rFonts w:ascii="Times New Roman" w:hAnsi="Times New Roman"/>
          <w:sz w:val="24"/>
        </w:rPr>
        <w:t>образование волн прорыва и воздействие этой волны при своем продвижении на объекты окружающей среды;</w:t>
      </w:r>
    </w:p>
    <w:p>
      <w:pPr>
        <w:pStyle w:val="ListParagraph"/>
        <w:numPr>
          <w:ilvl w:val="0"/>
          <w:numId w:val="22"/>
        </w:numPr>
        <w:spacing w:lineRule="auto" w:line="292" w:before="0" w:after="0"/>
        <w:ind w:left="0" w:firstLine="1418"/>
        <w:contextualSpacing/>
        <w:jc w:val="both"/>
        <w:rPr>
          <w:rFonts w:ascii="Times New Roman" w:hAnsi="Times New Roman"/>
          <w:sz w:val="24"/>
        </w:rPr>
      </w:pPr>
      <w:r>
        <w:rPr>
          <w:rFonts w:ascii="Times New Roman" w:hAnsi="Times New Roman"/>
          <w:sz w:val="24"/>
        </w:rPr>
        <w:t>затопление территорий и объектов.</w:t>
      </w:r>
    </w:p>
    <w:p>
      <w:pPr>
        <w:pStyle w:val="Normal"/>
        <w:spacing w:lineRule="auto" w:line="292" w:before="0" w:after="0"/>
        <w:ind w:left="1418" w:hanging="0"/>
        <w:contextualSpacing/>
        <w:jc w:val="both"/>
        <w:rPr>
          <w:rFonts w:ascii="Times New Roman" w:hAnsi="Times New Roman"/>
          <w:sz w:val="24"/>
        </w:rPr>
      </w:pPr>
      <w:r>
        <w:rPr>
          <w:rFonts w:ascii="Times New Roman" w:hAnsi="Times New Roman"/>
          <w:sz w:val="24"/>
        </w:rPr>
      </w:r>
    </w:p>
    <w:p>
      <w:pPr>
        <w:pStyle w:val="Normal"/>
        <w:spacing w:lineRule="auto" w:line="285"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6.1 Чрезвычайные ситуации природного характера</w:t>
      </w:r>
    </w:p>
    <w:p>
      <w:pPr>
        <w:pStyle w:val="Normal"/>
        <w:spacing w:lineRule="auto" w:line="285"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r>
    </w:p>
    <w:p>
      <w:pPr>
        <w:pStyle w:val="Normal"/>
        <w:spacing w:lineRule="auto" w:line="285"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6.1.1 Опасности, обусловленные природными пожарами</w:t>
      </w:r>
    </w:p>
    <w:p>
      <w:pPr>
        <w:pStyle w:val="Normal"/>
        <w:spacing w:lineRule="auto" w:line="285"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 соответствии со ст. 52 Лесного кодекса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Возможная обстановка по очагам природных пожаров:</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При возникновении лесных пожаров в районе возможен переход лесных пожаров на</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населенные пункты, возможно причинение ущерба лесным угодьям.</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массивам, и лесных дорогах в начале пожароопасного периода устанавливаются плакаты, регулярно публикуются статьи в районных и республиканских газетах, раздаются листовки противопожарного направления.</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Большое внимание уделяется мероприятиям по предупреждению распространения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 качестве естественных противопожарных барьеров принимаются реки, а также лесные массивы из лиственных пород. В качестве искусственных противопожарных барьеров и разрывов используются трассы железных и автомобильных дорог, линии электропередачи.</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С целью защиты от пожаров хвойных лесов вблизи сел предусматривается создание вокруг лесного массива пожароустойчивых лиственных опушек</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Самым слабым звеном в охране лесов от пожаров является недостаточная оснащенность лесхозов противопожарной техникой, оборудованием и инвентарем, количество которых незначительно увеличивается, а износ значительно растет.</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Для поддержания лесных территорий в надлежащем противопожарном состоянии</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 xml:space="preserve">рекомендуется проводить следующие противопожарные мероприятия: </w:t>
      </w:r>
    </w:p>
    <w:p>
      <w:pPr>
        <w:pStyle w:val="ListParagraph"/>
        <w:numPr>
          <w:ilvl w:val="0"/>
          <w:numId w:val="23"/>
        </w:numPr>
        <w:spacing w:lineRule="auto" w:line="288" w:before="0" w:after="0"/>
        <w:ind w:left="0" w:firstLine="851"/>
        <w:contextualSpacing/>
        <w:jc w:val="both"/>
        <w:rPr>
          <w:rFonts w:ascii="Times New Roman" w:hAnsi="Times New Roman"/>
          <w:sz w:val="24"/>
        </w:rPr>
      </w:pPr>
      <w:r>
        <w:rPr>
          <w:rFonts w:ascii="Times New Roman" w:hAnsi="Times New Roman"/>
          <w:sz w:val="24"/>
        </w:rPr>
        <w:t>установить постоянные стенды и выставки при конторах участковых лесничеств;</w:t>
      </w:r>
    </w:p>
    <w:p>
      <w:pPr>
        <w:pStyle w:val="ListParagraph"/>
        <w:numPr>
          <w:ilvl w:val="0"/>
          <w:numId w:val="23"/>
        </w:numPr>
        <w:spacing w:lineRule="auto" w:line="288" w:before="0" w:after="0"/>
        <w:ind w:left="0" w:firstLine="851"/>
        <w:contextualSpacing/>
        <w:jc w:val="both"/>
        <w:rPr>
          <w:rFonts w:ascii="Times New Roman" w:hAnsi="Times New Roman"/>
          <w:sz w:val="24"/>
        </w:rPr>
      </w:pPr>
      <w:r>
        <w:rPr>
          <w:rFonts w:ascii="Times New Roman" w:hAnsi="Times New Roman"/>
          <w:sz w:val="24"/>
        </w:rPr>
        <w:t>установить указатели и шлагбаумы;</w:t>
      </w:r>
    </w:p>
    <w:p>
      <w:pPr>
        <w:pStyle w:val="ListParagraph"/>
        <w:numPr>
          <w:ilvl w:val="0"/>
          <w:numId w:val="23"/>
        </w:numPr>
        <w:spacing w:lineRule="auto" w:line="288" w:before="0" w:after="0"/>
        <w:ind w:left="0" w:firstLine="851"/>
        <w:contextualSpacing/>
        <w:jc w:val="both"/>
        <w:rPr>
          <w:rFonts w:ascii="Times New Roman" w:hAnsi="Times New Roman"/>
          <w:sz w:val="24"/>
        </w:rPr>
      </w:pPr>
      <w:r>
        <w:rPr>
          <w:rFonts w:ascii="Times New Roman" w:hAnsi="Times New Roman"/>
          <w:sz w:val="24"/>
        </w:rPr>
        <w:t>организовать контрольные посты и места для отдыха и курения.</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Проведение указанных мероприятий может корректироваться в зависимости от степени пожарной опасности.</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На территории Татарско-Тавлинского сельского поселения согласно сведениям ЕГРН и Картам-Схемам земель лесного фонда, земли лесного фонда в границах сельского поселения отсутствуют.</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S6"/>
        <w:spacing w:lineRule="auto" w:line="285" w:before="0" w:after="0"/>
        <w:ind w:firstLine="851"/>
        <w:contextualSpacing/>
        <w:rPr>
          <w:b/>
          <w:b/>
          <w:color w:val="365F91" w:themeColor="accent1" w:themeShade="bf"/>
        </w:rPr>
      </w:pPr>
      <w:r>
        <w:rPr>
          <w:b/>
          <w:color w:val="365F91" w:themeColor="accent1" w:themeShade="bf"/>
        </w:rPr>
        <w:t>6.1.2 Геологические опасные явления</w:t>
      </w:r>
    </w:p>
    <w:p>
      <w:pPr>
        <w:pStyle w:val="S6"/>
        <w:spacing w:lineRule="auto" w:line="285" w:before="0" w:after="0"/>
        <w:contextualSpacing/>
        <w:rPr>
          <w:b/>
          <w:b/>
          <w:color w:val="365F91" w:themeColor="accent1" w:themeShade="bf"/>
        </w:rPr>
      </w:pPr>
      <w:r>
        <w:rPr>
          <w:b/>
          <w:color w:val="365F91" w:themeColor="accent1" w:themeShade="bf"/>
        </w:rPr>
      </w:r>
    </w:p>
    <w:p>
      <w:pPr>
        <w:pStyle w:val="S6"/>
        <w:spacing w:lineRule="auto" w:line="285" w:before="0" w:after="0"/>
        <w:ind w:firstLine="851"/>
        <w:contextualSpacing/>
        <w:rPr/>
      </w:pPr>
      <w:r>
        <w:rPr/>
        <w:t xml:space="preserve">Наиболее опасными геологическими явлениями являются: овражная эрозия и развитие процессов заболачивания. </w:t>
      </w:r>
    </w:p>
    <w:p>
      <w:pPr>
        <w:pStyle w:val="S6"/>
        <w:spacing w:lineRule="auto" w:line="285" w:before="0" w:after="0"/>
        <w:ind w:firstLine="851"/>
        <w:contextualSpacing/>
        <w:rPr>
          <w:color w:val="000000"/>
        </w:rPr>
      </w:pPr>
      <w:r>
        <w:rPr>
          <w:color w:val="000000"/>
        </w:rPr>
        <w:t xml:space="preserve">К </w:t>
      </w:r>
      <w:r>
        <w:rPr>
          <w:i/>
          <w:iCs/>
          <w:color w:val="000000"/>
        </w:rPr>
        <w:t xml:space="preserve">условно пригодными </w:t>
      </w:r>
      <w:r>
        <w:rPr>
          <w:color w:val="000000"/>
        </w:rPr>
        <w:t>для строительства отнесены участки с крутизной склонов от 10% до 30%, частью пораженные оползнями и оврагами. Подземные воды залегают здесь, как правило, на глубине 1-2м. Основанием сооружений на таких участках служат слабые водонасыщенные суглинки и супеси.</w:t>
      </w:r>
    </w:p>
    <w:p>
      <w:pPr>
        <w:pStyle w:val="S6"/>
        <w:spacing w:lineRule="auto" w:line="285" w:before="0" w:after="0"/>
        <w:ind w:firstLine="851"/>
        <w:contextualSpacing/>
        <w:rPr>
          <w:color w:val="000000"/>
        </w:rPr>
      </w:pPr>
      <w:r>
        <w:rPr>
          <w:color w:val="000000"/>
        </w:rPr>
        <w:t xml:space="preserve">К </w:t>
      </w:r>
      <w:r>
        <w:rPr>
          <w:i/>
          <w:iCs/>
          <w:color w:val="000000"/>
        </w:rPr>
        <w:t xml:space="preserve">пригодным </w:t>
      </w:r>
      <w:r>
        <w:rPr>
          <w:color w:val="000000"/>
        </w:rPr>
        <w:t>для строительства территориям отнесены участки водоразделов, склоны водоразделов, участки III надпойменной террасы. Основанием сооружений на этих участках будут служить красные глины, песчаники или четвертичные суглинки, местами лессовидные и просадочные. Подземные воды залегают на глубине от 2 до 5 м.</w:t>
      </w:r>
    </w:p>
    <w:p>
      <w:pPr>
        <w:pStyle w:val="S6"/>
        <w:spacing w:lineRule="auto" w:line="285" w:before="0" w:after="0"/>
        <w:ind w:firstLine="851"/>
        <w:contextualSpacing/>
        <w:rPr>
          <w:color w:val="000000"/>
        </w:rPr>
      </w:pPr>
      <w:r>
        <w:rPr>
          <w:color w:val="000000"/>
        </w:rPr>
        <w:t>Для предотвращения эрозии, оврагообразования и заболачивания почв, необходимо выполнение мероприятий:</w:t>
      </w:r>
    </w:p>
    <w:p>
      <w:pPr>
        <w:pStyle w:val="S6"/>
        <w:numPr>
          <w:ilvl w:val="0"/>
          <w:numId w:val="23"/>
        </w:numPr>
        <w:spacing w:lineRule="auto" w:line="285" w:before="0" w:after="0"/>
        <w:ind w:left="0" w:firstLine="851"/>
        <w:contextualSpacing/>
        <w:rPr>
          <w:color w:val="000000"/>
        </w:rPr>
      </w:pPr>
      <w:r>
        <w:rPr>
          <w:color w:val="000000"/>
        </w:rPr>
        <w:t>организация поверхностного стока и поверхностное осушение;</w:t>
      </w:r>
    </w:p>
    <w:p>
      <w:pPr>
        <w:pStyle w:val="S6"/>
        <w:numPr>
          <w:ilvl w:val="0"/>
          <w:numId w:val="23"/>
        </w:numPr>
        <w:spacing w:lineRule="auto" w:line="285" w:before="0" w:after="0"/>
        <w:ind w:left="0" w:firstLine="851"/>
        <w:contextualSpacing/>
        <w:rPr>
          <w:color w:val="000000"/>
        </w:rPr>
      </w:pPr>
      <w:r>
        <w:rPr>
          <w:color w:val="000000"/>
        </w:rPr>
        <w:t>берегоукрепление;</w:t>
      </w:r>
    </w:p>
    <w:p>
      <w:pPr>
        <w:pStyle w:val="S6"/>
        <w:numPr>
          <w:ilvl w:val="0"/>
          <w:numId w:val="23"/>
        </w:numPr>
        <w:spacing w:lineRule="auto" w:line="285" w:before="0" w:after="0"/>
        <w:ind w:left="0" w:firstLine="851"/>
        <w:contextualSpacing/>
        <w:rPr>
          <w:color w:val="000000"/>
        </w:rPr>
      </w:pPr>
      <w:r>
        <w:rPr>
          <w:color w:val="000000"/>
        </w:rPr>
        <w:t>благоустройство оврагов и крутых склонов рельефа;</w:t>
      </w:r>
    </w:p>
    <w:p>
      <w:pPr>
        <w:pStyle w:val="S6"/>
        <w:numPr>
          <w:ilvl w:val="0"/>
          <w:numId w:val="23"/>
        </w:numPr>
        <w:spacing w:lineRule="auto" w:line="285" w:before="0" w:after="0"/>
        <w:ind w:left="0" w:firstLine="851"/>
        <w:contextualSpacing/>
        <w:rPr>
          <w:color w:val="000000"/>
        </w:rPr>
      </w:pPr>
      <w:r>
        <w:rPr>
          <w:color w:val="000000"/>
        </w:rPr>
        <w:t>осушение болотистых участков и комплексная мелиорация земель.</w:t>
      </w:r>
    </w:p>
    <w:p>
      <w:pPr>
        <w:pStyle w:val="S6"/>
        <w:spacing w:lineRule="auto" w:line="285" w:before="0" w:after="0"/>
        <w:ind w:left="851" w:hanging="0"/>
        <w:contextualSpacing/>
        <w:rPr>
          <w:color w:val="000000"/>
        </w:rPr>
      </w:pPr>
      <w:r>
        <w:rPr>
          <w:color w:val="000000"/>
        </w:rPr>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b/>
          <w:color w:val="365F91" w:themeColor="accent1" w:themeShade="bf"/>
          <w:sz w:val="24"/>
          <w:szCs w:val="24"/>
        </w:rPr>
        <w:t>6.1.3 Гидрологические опасные явления</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Характерным для республики Мордовия из гидрологических чрезвычайных ситуаций</w:t>
      </w:r>
    </w:p>
    <w:p>
      <w:pPr>
        <w:pStyle w:val="Normal"/>
        <w:spacing w:lineRule="auto" w:line="285" w:before="0" w:after="0"/>
        <w:contextualSpacing/>
        <w:jc w:val="both"/>
        <w:rPr>
          <w:rFonts w:ascii="Times New Roman" w:hAnsi="Times New Roman" w:cs="Times New Roman"/>
          <w:sz w:val="24"/>
          <w:szCs w:val="24"/>
        </w:rPr>
      </w:pPr>
      <w:r>
        <w:rPr>
          <w:rFonts w:cs="Times New Roman" w:ascii="Times New Roman" w:hAnsi="Times New Roman"/>
          <w:sz w:val="24"/>
          <w:szCs w:val="24"/>
        </w:rPr>
        <w:t xml:space="preserve">является половодье. </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пунктов, способствует развитию оползневых процессов по крутым склонам практически всех рек, как крупных, так и малых.</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Влияние    наводнений   на    обстановку   в   населенных   пунктах    и  повреждения,</w:t>
      </w:r>
    </w:p>
    <w:p>
      <w:pPr>
        <w:pStyle w:val="Normal"/>
        <w:spacing w:lineRule="auto" w:line="285" w:before="0" w:after="0"/>
        <w:contextualSpacing/>
        <w:jc w:val="both"/>
        <w:rPr>
          <w:rFonts w:ascii="Times New Roman" w:hAnsi="Times New Roman" w:cs="Times New Roman"/>
          <w:sz w:val="24"/>
          <w:szCs w:val="24"/>
        </w:rPr>
      </w:pPr>
      <w:r>
        <w:rPr>
          <w:rFonts w:cs="Times New Roman" w:ascii="Times New Roman" w:hAnsi="Times New Roman"/>
          <w:sz w:val="24"/>
          <w:szCs w:val="24"/>
        </w:rPr>
        <w:t>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Частично затоплению паводковыми водами 1% обеспеченности подвергаются территории, расположенные на пойменной территории.</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сельского хозяйства и природных особенностей территории.</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Для защиты существующих населенных пунктов от затопления предусматривается обвалование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устанавливается в зависимости от класса сооружений согласно СНиП 2.06.15-85 и СНиП 33-01-2003.</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За расчетный горизонт высоких вод принимается отметка наивысшего уровня воды</w:t>
      </w:r>
    </w:p>
    <w:p>
      <w:pPr>
        <w:pStyle w:val="Normal"/>
        <w:spacing w:lineRule="auto" w:line="285" w:before="0" w:after="0"/>
        <w:contextualSpacing/>
        <w:jc w:val="both"/>
        <w:rPr>
          <w:rFonts w:ascii="Times New Roman" w:hAnsi="Times New Roman" w:cs="Times New Roman"/>
          <w:sz w:val="24"/>
          <w:szCs w:val="24"/>
        </w:rPr>
      </w:pPr>
      <w:r>
        <w:rPr>
          <w:rFonts w:cs="Times New Roman" w:ascii="Times New Roman" w:hAnsi="Times New Roman"/>
          <w:sz w:val="24"/>
          <w:szCs w:val="24"/>
        </w:rPr>
        <w:t>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pPr>
        <w:pStyle w:val="Normal"/>
        <w:spacing w:lineRule="auto" w:line="285"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pPr>
        <w:pStyle w:val="Normal"/>
        <w:spacing w:lineRule="auto" w:line="285" w:before="0" w:after="0"/>
        <w:ind w:firstLine="851"/>
        <w:contextualSpacing/>
        <w:jc w:val="both"/>
        <w:rPr/>
      </w:pPr>
      <w:r>
        <w:rPr>
          <w:rFonts w:cs="Times New Roman" w:ascii="Times New Roman" w:hAnsi="Times New Roman"/>
          <w:sz w:val="24"/>
          <w:szCs w:val="24"/>
        </w:rPr>
        <w:t>В большинстве случаев затапливаемые участки расположены довольно неудачно с точки зрения защиты: сплошную подсыпку осуществить невозможно в связи с застроенностью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на таких территориях,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pPr>
        <w:pStyle w:val="Normal"/>
        <w:spacing w:lineRule="auto" w:line="285" w:before="0" w:after="0"/>
        <w:ind w:firstLine="851"/>
        <w:contextualSpacing/>
        <w:jc w:val="both"/>
        <w:rPr>
          <w:rFonts w:ascii="Times New Roman" w:hAnsi="Times New Roman" w:cs="Times New Roman"/>
          <w:sz w:val="24"/>
        </w:rPr>
      </w:pPr>
      <w:r>
        <w:rPr>
          <w:rFonts w:cs="Times New Roman" w:ascii="Times New Roman" w:hAnsi="Times New Roman"/>
          <w:sz w:val="24"/>
        </w:rPr>
        <w:t>Территория Татарско-Тавлинского сельского поселения не подвергается воздействию половодья.</w:t>
      </w:r>
    </w:p>
    <w:p>
      <w:pPr>
        <w:pStyle w:val="Normal"/>
        <w:spacing w:lineRule="auto" w:line="285"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6.1.4 Опасные метеорологические явления и процессы</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Наиболее опасными явлениями погоды, характерными для объекта строительства являются:</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Сильные ветры со скоростью 20 м/с и более;</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Грозы (40-60 часов в год);</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Град с диаметром частиц 20 мм;</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Сильные ливни с интенсивностью 30 мм в час и более;</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Сильные снег с дождем – 50 мм в час;</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Продолжительные дожди – 120 часов и более;</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Сильные продолжительные морозы (около – 40</w:t>
      </w:r>
      <w:r>
        <w:rPr>
          <w:rFonts w:ascii="Times New Roman" w:hAnsi="Times New Roman"/>
          <w:sz w:val="24"/>
          <w:vertAlign w:val="superscript"/>
        </w:rPr>
        <w:t>о</w:t>
      </w:r>
      <w:r>
        <w:rPr>
          <w:rFonts w:ascii="Times New Roman" w:hAnsi="Times New Roman"/>
          <w:sz w:val="24"/>
        </w:rPr>
        <w:t>С и ниже);</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Снегопады, превышающие 20 мм за 24 часа;</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Сильная низовая метель при преобладающей скорости ветра более 15 м/с;</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В период с ноября по апрель возможны снежные заносы на автомобильных дорогах и в населенных пунктах;</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Гололед с толщиной отложений 20 мм;</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Сложные отложения и налипания мокрого снега –35 мм и более;</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Наибольшая глубина промерзания грунтов на открытой оголенной от снега площадке–180 см;</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Сильные продолжительные туманы с видимостью менее 100 м;</w:t>
      </w:r>
    </w:p>
    <w:p>
      <w:pPr>
        <w:pStyle w:val="ListParagraph"/>
        <w:numPr>
          <w:ilvl w:val="0"/>
          <w:numId w:val="24"/>
        </w:numPr>
        <w:spacing w:lineRule="auto" w:line="288" w:before="0" w:after="0"/>
        <w:ind w:left="0" w:firstLine="851"/>
        <w:contextualSpacing/>
        <w:jc w:val="both"/>
        <w:rPr>
          <w:rFonts w:ascii="Times New Roman" w:hAnsi="Times New Roman"/>
          <w:sz w:val="24"/>
        </w:rPr>
      </w:pPr>
      <w:r>
        <w:rPr>
          <w:rFonts w:ascii="Times New Roman" w:hAnsi="Times New Roman"/>
          <w:sz w:val="24"/>
        </w:rPr>
        <w:t>Сильная и продолжительная жара – температура воздуха +35</w:t>
      </w:r>
      <w:r>
        <w:rPr>
          <w:rFonts w:ascii="Times New Roman" w:hAnsi="Times New Roman"/>
          <w:sz w:val="24"/>
          <w:vertAlign w:val="superscript"/>
        </w:rPr>
        <w:t>о</w:t>
      </w:r>
      <w:r>
        <w:rPr>
          <w:rFonts w:ascii="Times New Roman" w:hAnsi="Times New Roman"/>
          <w:sz w:val="24"/>
        </w:rPr>
        <w:t>С и более.</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Возможные климатические воздействия непосредственной опасности для жизни и здоровья людей и нанесения ущерба зданиям и постройкам, поэтому в проекте должны быть предусмотрены технические решения, направленные на максимальное снижение негативных воздействий особо опасных погодных явлений таких как:</w:t>
      </w:r>
    </w:p>
    <w:p>
      <w:pPr>
        <w:pStyle w:val="ListParagraph"/>
        <w:numPr>
          <w:ilvl w:val="0"/>
          <w:numId w:val="25"/>
        </w:numPr>
        <w:spacing w:before="0" w:after="0"/>
        <w:ind w:left="0" w:firstLine="851"/>
        <w:contextualSpacing/>
        <w:jc w:val="both"/>
        <w:rPr>
          <w:rFonts w:ascii="Times New Roman" w:hAnsi="Times New Roman"/>
          <w:sz w:val="24"/>
        </w:rPr>
      </w:pPr>
      <w:r>
        <w:rPr>
          <w:rFonts w:ascii="Times New Roman" w:hAnsi="Times New Roman"/>
          <w:sz w:val="24"/>
        </w:rPr>
        <w:t>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сельского поселения позволяет организовать на внутриквартальных территориях поверхностный водоотвод открытым способом. В целях благоустройства территории сельского поселения, улучшения экологической обстановки предусмотрено строительство ливневой канализации.</w:t>
      </w:r>
    </w:p>
    <w:p>
      <w:pPr>
        <w:pStyle w:val="ListParagraph"/>
        <w:numPr>
          <w:ilvl w:val="0"/>
          <w:numId w:val="25"/>
        </w:numPr>
        <w:spacing w:before="0" w:after="0"/>
        <w:ind w:left="0" w:firstLine="851"/>
        <w:contextualSpacing/>
        <w:jc w:val="both"/>
        <w:rPr>
          <w:rFonts w:ascii="Times New Roman" w:hAnsi="Times New Roman"/>
          <w:sz w:val="24"/>
        </w:rPr>
      </w:pPr>
      <w:r>
        <w:rPr>
          <w:rFonts w:ascii="Times New Roman" w:hAnsi="Times New Roman"/>
          <w:sz w:val="24"/>
        </w:rPr>
        <w:t xml:space="preserve">Ветровые нагрузки. В соответствии с требованиями СНиП 2.01.07-85 «Нагрузки и воздействия» элементы зданий должны быть рассчитаны на восприятие ветровых нагрузок.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В целях своевременного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«Штормовое предупреждение»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«Штормового предупреждения».</w:t>
      </w:r>
    </w:p>
    <w:p>
      <w:pPr>
        <w:pStyle w:val="ListParagraph"/>
        <w:numPr>
          <w:ilvl w:val="0"/>
          <w:numId w:val="26"/>
        </w:numPr>
        <w:spacing w:before="0" w:after="0"/>
        <w:ind w:left="0" w:firstLine="851"/>
        <w:contextualSpacing/>
        <w:jc w:val="both"/>
        <w:rPr>
          <w:rFonts w:ascii="Times New Roman" w:hAnsi="Times New Roman"/>
          <w:sz w:val="24"/>
        </w:rPr>
      </w:pPr>
      <w:r>
        <w:rPr>
          <w:rFonts w:ascii="Times New Roman" w:hAnsi="Times New Roman"/>
          <w:sz w:val="24"/>
        </w:rPr>
        <w:t>Грозовые разряды. Согласно требованиям РД 3.21.122-87 «Инструкция по устройству молнии защиты зданий и сооружений», здания должны оборудоваться системой защиты от разрядов атмосферного электричества.</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Молнии защита зданий и сооружений предусматривается в соответствии с РД 3.21.122-87. Зданий и сооружений, относящихся к I категории по устройству молнии защиты, на застраиваемых зонах нет. Молнии защита зданий и сооружений, относящихся к III категории, осуществляется путем наложения молнии приемной сетки, прокладываемой непосредственно по перекрытиям под слоем утеплителя. Сетка заземляется с очаговыми заземлителями-тоководами, прокладываемыми по наружным стенам зданий и сооружений не реже, чем через каждые 25 м по периметру здания.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Молнии защита ВЛ 10кВ выполняется тросами, проложенными по опорам по всей длине трассы. </w:t>
      </w:r>
    </w:p>
    <w:p>
      <w:pPr>
        <w:pStyle w:val="ListParagraph"/>
        <w:numPr>
          <w:ilvl w:val="0"/>
          <w:numId w:val="27"/>
        </w:numPr>
        <w:spacing w:before="0" w:after="0"/>
        <w:ind w:left="0" w:firstLine="851"/>
        <w:contextualSpacing/>
        <w:jc w:val="both"/>
        <w:rPr>
          <w:rFonts w:ascii="Times New Roman" w:hAnsi="Times New Roman"/>
          <w:sz w:val="24"/>
        </w:rPr>
      </w:pPr>
      <w:r>
        <w:rPr>
          <w:rFonts w:ascii="Times New Roman" w:hAnsi="Times New Roman"/>
          <w:sz w:val="24"/>
        </w:rPr>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pPr>
        <w:pStyle w:val="ListParagraph"/>
        <w:numPr>
          <w:ilvl w:val="0"/>
          <w:numId w:val="27"/>
        </w:numPr>
        <w:spacing w:before="0" w:after="0"/>
        <w:ind w:left="0" w:firstLine="851"/>
        <w:contextualSpacing/>
        <w:jc w:val="both"/>
        <w:rPr>
          <w:rFonts w:ascii="Times New Roman" w:hAnsi="Times New Roman"/>
          <w:sz w:val="24"/>
        </w:rPr>
      </w:pPr>
      <w:r>
        <w:rPr>
          <w:rFonts w:ascii="Times New Roman" w:hAnsi="Times New Roman"/>
          <w:sz w:val="24"/>
        </w:rPr>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b/>
          <w:color w:val="365F91" w:themeColor="accent1" w:themeShade="bf"/>
          <w:sz w:val="24"/>
        </w:rPr>
        <w:t>6.2 Чрезвычайные ситуации техногенного характера</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 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Наибольший риск возникновения чрезвычайных ситуаций характерен для территорий с высокой концентрацией объектов техносферы. К пожаровзрывоопасным объектам относятся промышленные предприятия, в производстве которых используются взрывчатые и имеющие высокую степень возгораемости вещества, а также железнодорожный и трубопроводный транспорт, как несущие наибольшую нагрузку при транспортировании пожаровзрывоопасных грузов.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Для территории Татарско-Тавлинского сельского поселения возможны следующие виды техногенных чрезвычайных ситуаций: </w:t>
      </w:r>
    </w:p>
    <w:p>
      <w:pPr>
        <w:pStyle w:val="ListParagraph"/>
        <w:numPr>
          <w:ilvl w:val="1"/>
          <w:numId w:val="28"/>
        </w:numPr>
        <w:spacing w:lineRule="auto" w:line="280" w:before="0" w:after="0"/>
        <w:ind w:left="0" w:firstLine="851"/>
        <w:contextualSpacing/>
        <w:jc w:val="both"/>
        <w:rPr>
          <w:rFonts w:ascii="Times New Roman" w:hAnsi="Times New Roman"/>
          <w:sz w:val="24"/>
        </w:rPr>
      </w:pPr>
      <w:r>
        <w:rPr>
          <w:rFonts w:ascii="Times New Roman" w:hAnsi="Times New Roman"/>
          <w:sz w:val="24"/>
        </w:rPr>
        <w:t xml:space="preserve">Транспортные аварии (катастрофы) – крушения, аварии, крупные катастрофы: автомобильные. </w:t>
      </w:r>
    </w:p>
    <w:p>
      <w:pPr>
        <w:pStyle w:val="ListParagraph"/>
        <w:numPr>
          <w:ilvl w:val="1"/>
          <w:numId w:val="28"/>
        </w:numPr>
        <w:spacing w:lineRule="auto" w:line="280" w:before="0" w:after="0"/>
        <w:ind w:left="0" w:firstLine="851"/>
        <w:contextualSpacing/>
        <w:jc w:val="both"/>
        <w:rPr>
          <w:rFonts w:ascii="Times New Roman" w:hAnsi="Times New Roman"/>
          <w:sz w:val="24"/>
        </w:rPr>
      </w:pPr>
      <w:r>
        <w:rPr>
          <w:rFonts w:ascii="Times New Roman" w:hAnsi="Times New Roman"/>
          <w:sz w:val="24"/>
        </w:rPr>
        <w:t>Аварии, пожары в зданиях и сооружениях жилого, социально-бытового и культурного назначения.</w:t>
      </w:r>
    </w:p>
    <w:p>
      <w:pPr>
        <w:pStyle w:val="ListParagraph"/>
        <w:numPr>
          <w:ilvl w:val="1"/>
          <w:numId w:val="28"/>
        </w:numPr>
        <w:spacing w:lineRule="auto" w:line="280" w:before="0" w:after="0"/>
        <w:ind w:left="0" w:firstLine="851"/>
        <w:contextualSpacing/>
        <w:jc w:val="both"/>
        <w:rPr>
          <w:rFonts w:ascii="Times New Roman" w:hAnsi="Times New Roman"/>
          <w:sz w:val="24"/>
        </w:rPr>
      </w:pPr>
      <w:r>
        <w:rPr>
          <w:rFonts w:ascii="Times New Roman" w:hAnsi="Times New Roman"/>
          <w:sz w:val="24"/>
        </w:rPr>
        <w:t>Аварии на электроэнергетических системах.</w:t>
      </w:r>
    </w:p>
    <w:p>
      <w:pPr>
        <w:pStyle w:val="ListParagraph"/>
        <w:numPr>
          <w:ilvl w:val="1"/>
          <w:numId w:val="28"/>
        </w:numPr>
        <w:spacing w:lineRule="auto" w:line="280" w:before="0" w:after="0"/>
        <w:ind w:left="0" w:firstLine="851"/>
        <w:contextualSpacing/>
        <w:jc w:val="both"/>
        <w:rPr>
          <w:rFonts w:ascii="Times New Roman" w:hAnsi="Times New Roman"/>
          <w:sz w:val="24"/>
        </w:rPr>
      </w:pPr>
      <w:r>
        <w:rPr>
          <w:rFonts w:ascii="Times New Roman" w:hAnsi="Times New Roman"/>
          <w:sz w:val="24"/>
        </w:rPr>
        <w:t>Аварии на коммунальных системах жизнеобеспечения.</w:t>
      </w:r>
    </w:p>
    <w:p>
      <w:pPr>
        <w:pStyle w:val="ListParagraph"/>
        <w:numPr>
          <w:ilvl w:val="1"/>
          <w:numId w:val="28"/>
        </w:numPr>
        <w:spacing w:lineRule="auto" w:line="280" w:before="0" w:after="0"/>
        <w:ind w:left="0" w:firstLine="851"/>
        <w:contextualSpacing/>
        <w:jc w:val="both"/>
        <w:rPr>
          <w:rFonts w:ascii="Times New Roman" w:hAnsi="Times New Roman"/>
          <w:sz w:val="24"/>
        </w:rPr>
      </w:pPr>
      <w:r>
        <w:rPr>
          <w:rFonts w:ascii="Times New Roman" w:hAnsi="Times New Roman"/>
          <w:sz w:val="24"/>
        </w:rPr>
        <w:t>Аварии на газо-, продуктопроводах.</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Основные причины, способствующие возникновению ЧС техногенного характера:</w:t>
      </w:r>
    </w:p>
    <w:p>
      <w:pPr>
        <w:pStyle w:val="ListParagraph"/>
        <w:numPr>
          <w:ilvl w:val="0"/>
          <w:numId w:val="29"/>
        </w:numPr>
        <w:spacing w:lineRule="auto" w:line="280" w:before="0" w:after="0"/>
        <w:ind w:left="0" w:firstLine="709"/>
        <w:contextualSpacing/>
        <w:jc w:val="both"/>
        <w:rPr>
          <w:rFonts w:ascii="Times New Roman" w:hAnsi="Times New Roman"/>
          <w:sz w:val="24"/>
        </w:rPr>
      </w:pPr>
      <w:r>
        <w:rPr>
          <w:rFonts w:ascii="Times New Roman" w:hAnsi="Times New Roman"/>
          <w:sz w:val="24"/>
        </w:rPr>
        <w:t>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pPr>
        <w:pStyle w:val="ListParagraph"/>
        <w:numPr>
          <w:ilvl w:val="0"/>
          <w:numId w:val="29"/>
        </w:numPr>
        <w:spacing w:lineRule="auto" w:line="280" w:before="0" w:after="0"/>
        <w:ind w:left="0" w:firstLine="709"/>
        <w:contextualSpacing/>
        <w:jc w:val="both"/>
        <w:rPr>
          <w:rFonts w:ascii="Times New Roman" w:hAnsi="Times New Roman"/>
          <w:sz w:val="24"/>
        </w:rPr>
      </w:pPr>
      <w:r>
        <w:rPr>
          <w:rFonts w:ascii="Times New Roman" w:hAnsi="Times New Roman"/>
          <w:sz w:val="24"/>
        </w:rPr>
        <w:t>механическое разрушение оборудования, резервуаров, трубопроводов, скважин;</w:t>
      </w:r>
    </w:p>
    <w:p>
      <w:pPr>
        <w:pStyle w:val="ListParagraph"/>
        <w:numPr>
          <w:ilvl w:val="0"/>
          <w:numId w:val="29"/>
        </w:numPr>
        <w:spacing w:lineRule="auto" w:line="280" w:before="0" w:after="0"/>
        <w:ind w:left="0" w:firstLine="709"/>
        <w:contextualSpacing/>
        <w:jc w:val="both"/>
        <w:rPr>
          <w:rFonts w:ascii="Times New Roman" w:hAnsi="Times New Roman"/>
          <w:sz w:val="24"/>
        </w:rPr>
      </w:pPr>
      <w:r>
        <w:rPr>
          <w:rFonts w:ascii="Times New Roman" w:hAnsi="Times New Roman"/>
          <w:sz w:val="24"/>
        </w:rPr>
        <w:t>отсутствие современных систем управления опасными процессами;</w:t>
      </w:r>
    </w:p>
    <w:p>
      <w:pPr>
        <w:pStyle w:val="ListParagraph"/>
        <w:numPr>
          <w:ilvl w:val="0"/>
          <w:numId w:val="29"/>
        </w:numPr>
        <w:spacing w:lineRule="auto" w:line="280" w:before="0" w:after="0"/>
        <w:ind w:left="0" w:firstLine="709"/>
        <w:contextualSpacing/>
        <w:jc w:val="both"/>
        <w:rPr>
          <w:rFonts w:ascii="Times New Roman" w:hAnsi="Times New Roman"/>
          <w:sz w:val="24"/>
        </w:rPr>
      </w:pPr>
      <w:r>
        <w:rPr>
          <w:rFonts w:ascii="Times New Roman" w:hAnsi="Times New Roman"/>
          <w:sz w:val="24"/>
        </w:rPr>
        <w:t>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pPr>
        <w:pStyle w:val="ListParagraph"/>
        <w:numPr>
          <w:ilvl w:val="0"/>
          <w:numId w:val="29"/>
        </w:numPr>
        <w:spacing w:lineRule="auto" w:line="288" w:before="0" w:after="0"/>
        <w:ind w:left="0" w:firstLine="851"/>
        <w:contextualSpacing/>
        <w:jc w:val="both"/>
        <w:rPr>
          <w:rFonts w:ascii="Times New Roman" w:hAnsi="Times New Roman"/>
          <w:sz w:val="24"/>
        </w:rPr>
      </w:pPr>
      <w:r>
        <w:rPr>
          <w:rFonts w:ascii="Times New Roman" w:hAnsi="Times New Roman"/>
          <w:sz w:val="24"/>
        </w:rPr>
        <w:t>отсутствие дублирующих технических систем, альтернативы замены оборудования, агрегатов на предаварийной стадии;</w:t>
      </w:r>
    </w:p>
    <w:p>
      <w:pPr>
        <w:pStyle w:val="ListParagraph"/>
        <w:numPr>
          <w:ilvl w:val="0"/>
          <w:numId w:val="29"/>
        </w:numPr>
        <w:spacing w:lineRule="auto" w:line="288" w:before="0" w:after="0"/>
        <w:ind w:left="0" w:firstLine="851"/>
        <w:contextualSpacing/>
        <w:jc w:val="both"/>
        <w:rPr>
          <w:rFonts w:ascii="Times New Roman" w:hAnsi="Times New Roman"/>
          <w:sz w:val="24"/>
        </w:rPr>
      </w:pPr>
      <w:r>
        <w:rPr>
          <w:rFonts w:ascii="Times New Roman" w:hAnsi="Times New Roman"/>
          <w:sz w:val="24"/>
        </w:rPr>
        <w:t>нарушение сроков и периодичности диагностики, дефектоскопии, обследования и проверки потенциально опасных объектов;</w:t>
      </w:r>
    </w:p>
    <w:p>
      <w:pPr>
        <w:pStyle w:val="ListParagraph"/>
        <w:numPr>
          <w:ilvl w:val="0"/>
          <w:numId w:val="29"/>
        </w:numPr>
        <w:spacing w:lineRule="auto" w:line="288" w:before="0" w:after="0"/>
        <w:ind w:left="0" w:firstLine="851"/>
        <w:contextualSpacing/>
        <w:jc w:val="both"/>
        <w:rPr>
          <w:rFonts w:ascii="Times New Roman" w:hAnsi="Times New Roman"/>
          <w:sz w:val="24"/>
        </w:rPr>
      </w:pPr>
      <w:r>
        <w:rPr>
          <w:rFonts w:ascii="Times New Roman" w:hAnsi="Times New Roman"/>
          <w:sz w:val="24"/>
        </w:rPr>
        <w:t>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pPr>
        <w:pStyle w:val="ListParagraph"/>
        <w:numPr>
          <w:ilvl w:val="0"/>
          <w:numId w:val="29"/>
        </w:numPr>
        <w:spacing w:lineRule="auto" w:line="288" w:before="0" w:after="0"/>
        <w:ind w:left="0" w:firstLine="851"/>
        <w:contextualSpacing/>
        <w:jc w:val="both"/>
        <w:rPr>
          <w:rFonts w:ascii="Times New Roman" w:hAnsi="Times New Roman"/>
          <w:sz w:val="24"/>
        </w:rPr>
      </w:pPr>
      <w:r>
        <w:rPr>
          <w:rFonts w:ascii="Times New Roman" w:hAnsi="Times New Roman"/>
          <w:sz w:val="24"/>
        </w:rPr>
        <w:t>нарушение производственной и технологической дисциплины;</w:t>
      </w:r>
    </w:p>
    <w:p>
      <w:pPr>
        <w:pStyle w:val="ListParagraph"/>
        <w:numPr>
          <w:ilvl w:val="0"/>
          <w:numId w:val="29"/>
        </w:numPr>
        <w:spacing w:lineRule="auto" w:line="288" w:before="0" w:after="0"/>
        <w:ind w:left="0" w:firstLine="851"/>
        <w:contextualSpacing/>
        <w:jc w:val="both"/>
        <w:rPr/>
      </w:pPr>
      <w:r>
        <w:rPr>
          <w:rFonts w:ascii="Times New Roman" w:hAnsi="Times New Roman"/>
          <w:sz w:val="24"/>
        </w:rPr>
        <w:t>недостаточность квалифицированных кадров. </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6.2.1 Промышленные аварии и катастрофы</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Особую опасность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 </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Опасность чрезвычайных ситуаций техногенного характера для населения и территорий может возникнуть в случае аварий:</w:t>
      </w:r>
    </w:p>
    <w:p>
      <w:pPr>
        <w:pStyle w:val="ListParagraph"/>
        <w:numPr>
          <w:ilvl w:val="0"/>
          <w:numId w:val="30"/>
        </w:numPr>
        <w:spacing w:lineRule="auto" w:line="288" w:before="0" w:after="0"/>
        <w:ind w:left="0" w:firstLine="851"/>
        <w:contextualSpacing/>
        <w:jc w:val="both"/>
        <w:rPr>
          <w:rFonts w:ascii="Times New Roman" w:hAnsi="Times New Roman"/>
          <w:sz w:val="24"/>
        </w:rPr>
      </w:pPr>
      <w:r>
        <w:rPr>
          <w:rFonts w:ascii="Times New Roman" w:hAnsi="Times New Roman"/>
          <w:sz w:val="24"/>
        </w:rPr>
        <w:t>на потенциально опасных объектах, на которых используются, производятся, перерабатываются, хранятся и транспортируются пожаровзрывоопасные, опасные химические вещества;</w:t>
      </w:r>
    </w:p>
    <w:p>
      <w:pPr>
        <w:pStyle w:val="ListParagraph"/>
        <w:numPr>
          <w:ilvl w:val="0"/>
          <w:numId w:val="30"/>
        </w:numPr>
        <w:spacing w:lineRule="auto" w:line="288" w:before="0" w:after="0"/>
        <w:ind w:left="0" w:firstLine="851"/>
        <w:contextualSpacing/>
        <w:jc w:val="both"/>
        <w:rPr>
          <w:rFonts w:ascii="Times New Roman" w:hAnsi="Times New Roman"/>
          <w:sz w:val="24"/>
        </w:rPr>
      </w:pPr>
      <w:r>
        <w:rPr>
          <w:rFonts w:ascii="Times New Roman" w:hAnsi="Times New Roman"/>
          <w:sz w:val="24"/>
        </w:rPr>
        <w:t>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i/>
          <w:sz w:val="24"/>
        </w:rPr>
        <w:t>1 класс</w:t>
      </w:r>
      <w:r>
        <w:rPr>
          <w:rFonts w:cs="Times New Roman" w:ascii="Times New Roman" w:hAnsi="Times New Roman"/>
          <w:sz w:val="24"/>
        </w:rPr>
        <w:t xml:space="preserve"> –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i/>
          <w:sz w:val="24"/>
        </w:rPr>
        <w:t>2 класс</w:t>
      </w:r>
      <w:r>
        <w:rPr>
          <w:rFonts w:cs="Times New Roman" w:ascii="Times New Roman" w:hAnsi="Times New Roman"/>
          <w:sz w:val="24"/>
        </w:rPr>
        <w:t xml:space="preserve"> – потенциально опасные объекты, аварии на которых могут являться источниками возникновения региональных чрезвычайных ситуаций;</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i/>
          <w:sz w:val="24"/>
        </w:rPr>
        <w:t>3 класс</w:t>
      </w:r>
      <w:r>
        <w:rPr>
          <w:rFonts w:cs="Times New Roman" w:ascii="Times New Roman" w:hAnsi="Times New Roman"/>
          <w:sz w:val="24"/>
        </w:rPr>
        <w:t xml:space="preserve"> – потенциально опасные объекты, аварии на которых могут являться источниками возникновения территориальных чрезвычайных ситуаций;</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i/>
          <w:sz w:val="24"/>
        </w:rPr>
        <w:t>4 класс</w:t>
      </w:r>
      <w:r>
        <w:rPr>
          <w:rFonts w:cs="Times New Roman" w:ascii="Times New Roman" w:hAnsi="Times New Roman"/>
          <w:sz w:val="24"/>
        </w:rPr>
        <w:t xml:space="preserve"> – потенциально опасные объекты, аварии на которых могут являться источниками возникновения местных чрезвычайных ситуаций;</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i/>
          <w:sz w:val="24"/>
        </w:rPr>
        <w:t>5 класс</w:t>
      </w:r>
      <w:r>
        <w:rPr>
          <w:rFonts w:cs="Times New Roman" w:ascii="Times New Roman" w:hAnsi="Times New Roman"/>
          <w:sz w:val="24"/>
        </w:rPr>
        <w:t xml:space="preserve"> – потенциально опасные объекты, аварии на которых могут являться источниками возникновения локальных чрезвычайных ситуаций.</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Организация прогнозирования техногенных чрезвычайных ситуаций осуществляется на основе представляемой информации обо всех имеющихся в регионе потенциально опасных объектах.</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Результаты прогнозирования чрезвычайных ситуаций техногенного характера 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pPr>
        <w:pStyle w:val="Normal"/>
        <w:widowControl w:val="false"/>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pPr>
        <w:pStyle w:val="Normal"/>
        <w:spacing w:lineRule="auto" w:line="297" w:before="0" w:after="0"/>
        <w:ind w:firstLine="851"/>
        <w:contextualSpacing/>
        <w:jc w:val="both"/>
        <w:rPr>
          <w:rFonts w:ascii="Times New Roman" w:hAnsi="Times New Roman" w:cs="Times New Roman"/>
          <w:i/>
          <w:i/>
          <w:sz w:val="24"/>
          <w:szCs w:val="24"/>
        </w:rPr>
      </w:pPr>
      <w:bookmarkStart w:id="29" w:name="_Toc286845508"/>
      <w:r>
        <w:rPr>
          <w:rFonts w:cs="Times New Roman" w:ascii="Times New Roman" w:hAnsi="Times New Roman"/>
          <w:i/>
          <w:sz w:val="24"/>
          <w:szCs w:val="24"/>
        </w:rPr>
        <w:t>Опасности, обусловленные авариями на химически опасных объектах</w:t>
      </w:r>
      <w:bookmarkEnd w:id="29"/>
      <w:r>
        <w:rPr>
          <w:rFonts w:cs="Times New Roman" w:ascii="Times New Roman" w:hAnsi="Times New Roman"/>
          <w:i/>
          <w:sz w:val="24"/>
          <w:szCs w:val="24"/>
        </w:rPr>
        <w:t>.</w:t>
      </w:r>
    </w:p>
    <w:p>
      <w:pPr>
        <w:pStyle w:val="Normal"/>
        <w:spacing w:lineRule="auto" w:line="297"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 xml:space="preserve">К числу взрывопожароопасных объектов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нефте- и продуктопроводы. 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 При пожарах полностью или частично уничтожаются, или выходят из строя здания, сооружения, различное технологическое оборудование и транспортные средства. </w:t>
      </w:r>
    </w:p>
    <w:p>
      <w:pPr>
        <w:pStyle w:val="S6"/>
        <w:spacing w:lineRule="auto" w:line="297" w:before="0" w:after="0"/>
        <w:ind w:firstLine="851"/>
        <w:contextualSpacing/>
        <w:rPr/>
      </w:pPr>
      <w:r>
        <w:rPr/>
        <w:t>Для предотвращения ЧС проектом определены общие организационные мероприятия:</w:t>
      </w:r>
    </w:p>
    <w:p>
      <w:pPr>
        <w:pStyle w:val="ListParagraph"/>
        <w:widowControl w:val="false"/>
        <w:numPr>
          <w:ilvl w:val="0"/>
          <w:numId w:val="31"/>
        </w:numPr>
        <w:spacing w:lineRule="auto" w:line="297" w:before="0" w:after="0"/>
        <w:ind w:left="0" w:firstLine="851"/>
        <w:contextualSpacing/>
        <w:jc w:val="both"/>
        <w:rPr>
          <w:rFonts w:ascii="Times New Roman" w:hAnsi="Times New Roman"/>
          <w:sz w:val="24"/>
        </w:rPr>
      </w:pPr>
      <w:r>
        <w:rPr>
          <w:rFonts w:ascii="Times New Roman" w:hAnsi="Times New Roman"/>
          <w:sz w:val="24"/>
        </w:rPr>
        <w:t>совершенствование службы оповещения работников взрыво-, пожароопасных предприятий и населения прилегающих районов о создавшейся ЧС и необходимых действиях работников и населения.</w:t>
      </w:r>
    </w:p>
    <w:p>
      <w:pPr>
        <w:pStyle w:val="ListParagraph"/>
        <w:widowControl w:val="false"/>
        <w:numPr>
          <w:ilvl w:val="0"/>
          <w:numId w:val="31"/>
        </w:numPr>
        <w:spacing w:lineRule="auto" w:line="297" w:before="0" w:after="0"/>
        <w:ind w:left="0" w:firstLine="851"/>
        <w:contextualSpacing/>
        <w:jc w:val="both"/>
        <w:rPr>
          <w:rFonts w:ascii="Times New Roman" w:hAnsi="Times New Roman"/>
          <w:sz w:val="24"/>
        </w:rPr>
      </w:pPr>
      <w:r>
        <w:rPr>
          <w:rFonts w:ascii="Times New Roman" w:hAnsi="Times New Roman"/>
          <w:sz w:val="24"/>
        </w:rPr>
        <w:t>содержание в полной готовности поддонов и обваловав емкостей, содержащих ЛВЖ;</w:t>
      </w:r>
    </w:p>
    <w:p>
      <w:pPr>
        <w:pStyle w:val="ListParagraph"/>
        <w:numPr>
          <w:ilvl w:val="0"/>
          <w:numId w:val="31"/>
        </w:numPr>
        <w:spacing w:lineRule="auto" w:line="297" w:before="0" w:after="0"/>
        <w:ind w:left="0" w:firstLine="851"/>
        <w:contextualSpacing/>
        <w:jc w:val="both"/>
        <w:rPr>
          <w:rFonts w:ascii="Times New Roman" w:hAnsi="Times New Roman"/>
          <w:sz w:val="24"/>
        </w:rPr>
      </w:pPr>
      <w:r>
        <w:rPr>
          <w:rFonts w:ascii="Times New Roman" w:hAnsi="Times New Roman"/>
          <w:sz w:val="24"/>
        </w:rPr>
        <w:t>точное выполнение плана-графика предупредительных ремонтов и профилактических работ, соблюдение их объемов и правил проведения;</w:t>
      </w:r>
    </w:p>
    <w:p>
      <w:pPr>
        <w:pStyle w:val="ListParagraph"/>
        <w:numPr>
          <w:ilvl w:val="0"/>
          <w:numId w:val="31"/>
        </w:numPr>
        <w:spacing w:lineRule="auto" w:line="297" w:before="0" w:after="0"/>
        <w:ind w:left="0" w:firstLine="851"/>
        <w:contextualSpacing/>
        <w:jc w:val="both"/>
        <w:rPr>
          <w:rFonts w:ascii="Times New Roman" w:hAnsi="Times New Roman"/>
          <w:sz w:val="24"/>
        </w:rPr>
      </w:pPr>
      <w:r>
        <w:rPr>
          <w:rFonts w:ascii="Times New Roman" w:hAnsi="Times New Roman"/>
          <w:sz w:val="24"/>
        </w:rPr>
        <w:t>регулярная проверка соблюдения действующих норм и правил по промышленной безопасности;</w:t>
      </w:r>
    </w:p>
    <w:p>
      <w:pPr>
        <w:pStyle w:val="ListParagraph"/>
        <w:numPr>
          <w:ilvl w:val="0"/>
          <w:numId w:val="31"/>
        </w:numPr>
        <w:spacing w:lineRule="auto" w:line="297" w:before="0" w:after="0"/>
        <w:ind w:left="0" w:firstLine="851"/>
        <w:contextualSpacing/>
        <w:jc w:val="both"/>
        <w:rPr>
          <w:rFonts w:ascii="Times New Roman" w:hAnsi="Times New Roman"/>
          <w:sz w:val="24"/>
        </w:rPr>
      </w:pPr>
      <w:r>
        <w:rPr>
          <w:rFonts w:ascii="Times New Roman" w:hAnsi="Times New Roman"/>
          <w:sz w:val="24"/>
        </w:rPr>
        <w:t>регулярное проведение тренировок по отработке действий всего персонала предприятия в случае ЧС.</w:t>
      </w:r>
    </w:p>
    <w:p>
      <w:pPr>
        <w:pStyle w:val="Normal"/>
        <w:spacing w:lineRule="auto" w:line="288" w:before="0" w:after="0"/>
        <w:ind w:firstLine="851"/>
        <w:contextualSpacing/>
        <w:rPr>
          <w:rFonts w:ascii="Times New Roman" w:hAnsi="Times New Roman" w:cs="Times New Roman"/>
          <w:sz w:val="24"/>
          <w:szCs w:val="24"/>
        </w:rPr>
      </w:pPr>
      <w:r>
        <w:rPr>
          <w:rFonts w:cs="Times New Roman" w:ascii="Times New Roman" w:hAnsi="Times New Roman"/>
          <w:sz w:val="24"/>
          <w:szCs w:val="24"/>
        </w:rPr>
        <w:t>При аварии на ХОО или при его разрушении АХОВ выходят в окружающую среду в количествах, достаточных для массового поражения людей и животных, образуются зоны и очаги химического заражения.</w:t>
      </w:r>
    </w:p>
    <w:p>
      <w:pPr>
        <w:pStyle w:val="Normal"/>
        <w:spacing w:lineRule="auto" w:line="288" w:before="0" w:after="0"/>
        <w:ind w:firstLine="851"/>
        <w:contextualSpacing/>
        <w:jc w:val="both"/>
        <w:rPr>
          <w:rFonts w:ascii="Times New Roman" w:hAnsi="Times New Roman" w:cs="Times New Roman"/>
          <w:i/>
          <w:i/>
          <w:sz w:val="24"/>
        </w:rPr>
      </w:pPr>
      <w:r>
        <w:rPr>
          <w:rFonts w:cs="Times New Roman" w:ascii="Times New Roman" w:hAnsi="Times New Roman"/>
          <w:i/>
          <w:sz w:val="24"/>
        </w:rPr>
        <w:t>Опасности, обусловленные авариями на радиационно опасных объектах.</w:t>
      </w:r>
    </w:p>
    <w:p>
      <w:pPr>
        <w:pStyle w:val="Normal"/>
        <w:spacing w:lineRule="auto" w:line="288" w:before="0" w:after="0"/>
        <w:ind w:firstLine="851"/>
        <w:contextualSpacing/>
        <w:jc w:val="both"/>
        <w:rPr>
          <w:rFonts w:ascii="Times New Roman" w:hAnsi="Times New Roman" w:cs="Times New Roman"/>
          <w:i/>
          <w:i/>
          <w:sz w:val="24"/>
        </w:rPr>
      </w:pPr>
      <w:r>
        <w:rPr>
          <w:rFonts w:cs="Times New Roman" w:ascii="Times New Roman" w:hAnsi="Times New Roman"/>
          <w:sz w:val="24"/>
        </w:rPr>
        <w:t>Ядерно-, радиационно-, и биологически-опасные объекты, аварии на которых                     могут представлять угрозу возникновения ЧС, на территории Татарско-Тавлинского сельского</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поселения отсутствуют.</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6.2.2 Опасности, обусловленные транспортными авариями</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Татарско-Тавлинское сельское поселение обеспечено развитой транспортной инфраструктурой.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В состав транспортной системы Татарско-Тавлинского сельского поселения входят автомобильный вид транспорта.</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Возможными причинами ЧС на транспорте являются:</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ListParagraph"/>
        <w:numPr>
          <w:ilvl w:val="0"/>
          <w:numId w:val="32"/>
        </w:numPr>
        <w:spacing w:lineRule="auto" w:line="280" w:before="0" w:after="0"/>
        <w:ind w:left="0" w:firstLine="851"/>
        <w:contextualSpacing/>
        <w:jc w:val="both"/>
        <w:rPr>
          <w:rFonts w:ascii="Times New Roman" w:hAnsi="Times New Roman"/>
          <w:sz w:val="24"/>
        </w:rPr>
      </w:pPr>
      <w:r>
        <w:rPr>
          <w:rFonts w:ascii="Times New Roman" w:hAnsi="Times New Roman"/>
          <w:sz w:val="24"/>
        </w:rPr>
        <w:t>большая степень физического износа технических систем, коммуникаций и подвижного состава;</w:t>
      </w:r>
    </w:p>
    <w:p>
      <w:pPr>
        <w:pStyle w:val="ListParagraph"/>
        <w:numPr>
          <w:ilvl w:val="0"/>
          <w:numId w:val="32"/>
        </w:numPr>
        <w:spacing w:lineRule="auto" w:line="280" w:before="0" w:after="0"/>
        <w:ind w:left="0" w:firstLine="851"/>
        <w:contextualSpacing/>
        <w:jc w:val="both"/>
        <w:rPr>
          <w:rFonts w:ascii="Times New Roman" w:hAnsi="Times New Roman"/>
          <w:sz w:val="24"/>
        </w:rPr>
      </w:pPr>
      <w:r>
        <w:rPr>
          <w:rFonts w:ascii="Times New Roman" w:hAnsi="Times New Roman"/>
          <w:sz w:val="24"/>
        </w:rPr>
        <w:t>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Основные проблемы на транспорте:</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моральный и физический износ основных фондов, подвижного состава;</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несвоевременность профилактических работ, текущего и среднего ремонта эксплуатационного оборудования и технических систем;</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недостаточность собственных ресурсов материально-технических средств и ремонтной базы;</w:t>
      </w:r>
    </w:p>
    <w:p>
      <w:pPr>
        <w:pStyle w:val="ListParagraph"/>
        <w:numPr>
          <w:ilvl w:val="0"/>
          <w:numId w:val="33"/>
        </w:numPr>
        <w:spacing w:lineRule="auto" w:line="280" w:before="0" w:after="0"/>
        <w:ind w:left="0" w:firstLine="851"/>
        <w:contextualSpacing/>
        <w:jc w:val="both"/>
        <w:rPr>
          <w:rFonts w:ascii="Times New Roman" w:hAnsi="Times New Roman"/>
          <w:sz w:val="24"/>
        </w:rPr>
      </w:pPr>
      <w:r>
        <w:rPr>
          <w:rFonts w:ascii="Times New Roman" w:hAnsi="Times New Roman"/>
          <w:sz w:val="24"/>
        </w:rPr>
        <w:t>недостаточное финансирование комплекса превентивных мероприятий и планово-предупредительных ремонтов.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Основной частью аварий на дорогах являются дорожно-транспортные происшествия. Основные виды дорожно-транспортных происшествий:</w:t>
      </w:r>
    </w:p>
    <w:p>
      <w:pPr>
        <w:pStyle w:val="ListParagraph"/>
        <w:numPr>
          <w:ilvl w:val="0"/>
          <w:numId w:val="34"/>
        </w:numPr>
        <w:spacing w:lineRule="auto" w:line="280" w:before="0" w:after="0"/>
        <w:ind w:left="0" w:firstLine="851"/>
        <w:contextualSpacing/>
        <w:jc w:val="both"/>
        <w:rPr>
          <w:rFonts w:ascii="Times New Roman" w:hAnsi="Times New Roman"/>
          <w:sz w:val="24"/>
        </w:rPr>
      </w:pPr>
      <w:r>
        <w:rPr>
          <w:rFonts w:ascii="Times New Roman" w:hAnsi="Times New Roman"/>
          <w:sz w:val="24"/>
        </w:rPr>
        <w:t>наезд на пешехода;</w:t>
      </w:r>
    </w:p>
    <w:p>
      <w:pPr>
        <w:pStyle w:val="ListParagraph"/>
        <w:numPr>
          <w:ilvl w:val="0"/>
          <w:numId w:val="34"/>
        </w:numPr>
        <w:spacing w:lineRule="auto" w:line="280" w:before="0" w:after="0"/>
        <w:ind w:left="0" w:firstLine="851"/>
        <w:contextualSpacing/>
        <w:jc w:val="both"/>
        <w:rPr>
          <w:rFonts w:ascii="Times New Roman" w:hAnsi="Times New Roman"/>
          <w:sz w:val="24"/>
        </w:rPr>
      </w:pPr>
      <w:r>
        <w:rPr>
          <w:rFonts w:ascii="Times New Roman" w:hAnsi="Times New Roman"/>
          <w:sz w:val="24"/>
        </w:rPr>
        <w:t>столкновение автотранспортных средств.</w:t>
      </w:r>
    </w:p>
    <w:p>
      <w:pPr>
        <w:pStyle w:val="Normal"/>
        <w:spacing w:lineRule="auto" w:line="280" w:before="0" w:after="0"/>
        <w:ind w:firstLine="851"/>
        <w:contextualSpacing/>
        <w:jc w:val="both"/>
        <w:rPr>
          <w:rFonts w:ascii="Times New Roman" w:hAnsi="Times New Roman"/>
          <w:sz w:val="24"/>
        </w:rPr>
      </w:pPr>
      <w:r>
        <w:rPr>
          <w:rFonts w:cs="Times New Roman" w:ascii="Times New Roman" w:hAnsi="Times New Roman"/>
          <w:sz w:val="24"/>
        </w:rPr>
        <w:t>Основные   причины    совершения   дорожно-транспортных    происшествий     из-за</w:t>
      </w:r>
    </w:p>
    <w:p>
      <w:pPr>
        <w:pStyle w:val="Normal"/>
        <w:spacing w:lineRule="auto" w:line="280" w:before="0" w:after="0"/>
        <w:contextualSpacing/>
        <w:jc w:val="both"/>
        <w:rPr>
          <w:rFonts w:ascii="Times New Roman" w:hAnsi="Times New Roman" w:cs="Times New Roman"/>
          <w:sz w:val="24"/>
        </w:rPr>
      </w:pPr>
      <w:r>
        <w:rPr>
          <w:rFonts w:cs="Times New Roman" w:ascii="Times New Roman" w:hAnsi="Times New Roman"/>
          <w:sz w:val="24"/>
        </w:rPr>
        <w:t>нарушения правил дорожного движения водителями:</w:t>
      </w:r>
    </w:p>
    <w:p>
      <w:pPr>
        <w:pStyle w:val="ListParagraph"/>
        <w:numPr>
          <w:ilvl w:val="0"/>
          <w:numId w:val="35"/>
        </w:numPr>
        <w:spacing w:before="0" w:after="0"/>
        <w:ind w:left="0" w:firstLine="851"/>
        <w:contextualSpacing/>
        <w:jc w:val="both"/>
        <w:rPr>
          <w:rFonts w:ascii="Times New Roman" w:hAnsi="Times New Roman"/>
          <w:sz w:val="24"/>
        </w:rPr>
      </w:pPr>
      <w:r>
        <w:rPr>
          <w:rFonts w:ascii="Times New Roman" w:hAnsi="Times New Roman"/>
          <w:sz w:val="24"/>
        </w:rPr>
        <w:t>несоответствие скорости конкретным условиям;</w:t>
      </w:r>
    </w:p>
    <w:p>
      <w:pPr>
        <w:pStyle w:val="ListParagraph"/>
        <w:numPr>
          <w:ilvl w:val="0"/>
          <w:numId w:val="35"/>
        </w:numPr>
        <w:spacing w:before="0" w:after="0"/>
        <w:ind w:left="0" w:firstLine="851"/>
        <w:contextualSpacing/>
        <w:jc w:val="both"/>
        <w:rPr>
          <w:rFonts w:ascii="Times New Roman" w:hAnsi="Times New Roman"/>
          <w:sz w:val="24"/>
        </w:rPr>
      </w:pPr>
      <w:r>
        <w:rPr>
          <w:rFonts w:ascii="Times New Roman" w:hAnsi="Times New Roman"/>
          <w:sz w:val="24"/>
        </w:rPr>
        <w:t>управление транспортным средством без права управления;</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выезд на встречную полосу;</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несоблюдение очередности проезда;</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управление транспортным средством в нетрезвом состоянии;</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несоблюдение дистанции;</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нарушение правил проезда пешеходного перехода;</w:t>
      </w:r>
    </w:p>
    <w:p>
      <w:pPr>
        <w:pStyle w:val="ListParagraph"/>
        <w:numPr>
          <w:ilvl w:val="0"/>
          <w:numId w:val="35"/>
        </w:numPr>
        <w:spacing w:lineRule="auto" w:line="297" w:before="0" w:after="0"/>
        <w:ind w:left="0" w:firstLine="851"/>
        <w:contextualSpacing/>
        <w:jc w:val="both"/>
        <w:rPr>
          <w:rFonts w:ascii="Times New Roman" w:hAnsi="Times New Roman"/>
          <w:sz w:val="24"/>
        </w:rPr>
      </w:pPr>
      <w:r>
        <w:rPr>
          <w:rFonts w:ascii="Times New Roman" w:hAnsi="Times New Roman"/>
          <w:sz w:val="24"/>
        </w:rPr>
        <w:t>превышение установленной скорости.</w:t>
      </w:r>
    </w:p>
    <w:p>
      <w:pPr>
        <w:pStyle w:val="Normal"/>
        <w:spacing w:lineRule="auto" w:line="297" w:before="0" w:after="0"/>
        <w:ind w:firstLine="851"/>
        <w:contextualSpacing/>
        <w:jc w:val="both"/>
        <w:rPr>
          <w:rFonts w:ascii="Times New Roman" w:hAnsi="Times New Roman"/>
          <w:sz w:val="24"/>
        </w:rPr>
      </w:pPr>
      <w:r>
        <w:rPr>
          <w:rFonts w:cs="Times New Roman" w:ascii="Times New Roman" w:hAnsi="Times New Roman"/>
          <w:sz w:val="24"/>
        </w:rPr>
        <w:t>Основные причины совершения дорожно-транспортных происшествий из-за</w:t>
      </w:r>
      <w:r>
        <w:rPr>
          <w:rFonts w:ascii="Times New Roman" w:hAnsi="Times New Roman"/>
          <w:sz w:val="24"/>
        </w:rPr>
        <w:t xml:space="preserve"> </w:t>
      </w:r>
      <w:r>
        <w:rPr>
          <w:rFonts w:cs="Times New Roman" w:ascii="Times New Roman" w:hAnsi="Times New Roman"/>
          <w:sz w:val="24"/>
        </w:rPr>
        <w:t>нарушения правил дорожного движения пешеходами:</w:t>
      </w:r>
    </w:p>
    <w:p>
      <w:pPr>
        <w:pStyle w:val="ListParagraph"/>
        <w:numPr>
          <w:ilvl w:val="0"/>
          <w:numId w:val="36"/>
        </w:numPr>
        <w:spacing w:lineRule="auto" w:line="297" w:before="0" w:after="0"/>
        <w:ind w:left="0" w:firstLine="851"/>
        <w:contextualSpacing/>
        <w:jc w:val="both"/>
        <w:rPr>
          <w:rFonts w:ascii="Times New Roman" w:hAnsi="Times New Roman"/>
          <w:sz w:val="24"/>
        </w:rPr>
      </w:pPr>
      <w:r>
        <w:rPr>
          <w:rFonts w:ascii="Times New Roman" w:hAnsi="Times New Roman"/>
          <w:sz w:val="24"/>
        </w:rPr>
        <w:t>переход проезжей части в неустановленном месте;</w:t>
      </w:r>
    </w:p>
    <w:p>
      <w:pPr>
        <w:pStyle w:val="ListParagraph"/>
        <w:numPr>
          <w:ilvl w:val="0"/>
          <w:numId w:val="36"/>
        </w:numPr>
        <w:spacing w:lineRule="auto" w:line="297" w:before="0" w:after="0"/>
        <w:ind w:left="0" w:firstLine="851"/>
        <w:contextualSpacing/>
        <w:jc w:val="both"/>
        <w:rPr>
          <w:rFonts w:ascii="Times New Roman" w:hAnsi="Times New Roman"/>
          <w:sz w:val="24"/>
        </w:rPr>
      </w:pPr>
      <w:r>
        <w:rPr>
          <w:rFonts w:ascii="Times New Roman" w:hAnsi="Times New Roman"/>
          <w:sz w:val="24"/>
        </w:rPr>
        <w:t>переход проезжей части перед близко идущим транспортом;</w:t>
      </w:r>
    </w:p>
    <w:p>
      <w:pPr>
        <w:pStyle w:val="ListParagraph"/>
        <w:numPr>
          <w:ilvl w:val="0"/>
          <w:numId w:val="36"/>
        </w:numPr>
        <w:spacing w:lineRule="auto" w:line="297" w:before="0" w:after="0"/>
        <w:ind w:left="0" w:firstLine="851"/>
        <w:contextualSpacing/>
        <w:jc w:val="both"/>
        <w:rPr>
          <w:rFonts w:ascii="Times New Roman" w:hAnsi="Times New Roman"/>
          <w:sz w:val="24"/>
        </w:rPr>
      </w:pPr>
      <w:r>
        <w:rPr>
          <w:rFonts w:ascii="Times New Roman" w:hAnsi="Times New Roman"/>
          <w:sz w:val="24"/>
        </w:rPr>
        <w:t>неожиданный выход из-за транспорта, сооружений.</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Около 30% дорожно-транспортных происшествий происходит из-за неудовлетворительных дорожных условий. Дорожные условия, сопутствующие ДТП:</w:t>
      </w:r>
    </w:p>
    <w:p>
      <w:pPr>
        <w:pStyle w:val="ListParagraph"/>
        <w:numPr>
          <w:ilvl w:val="0"/>
          <w:numId w:val="37"/>
        </w:numPr>
        <w:spacing w:lineRule="auto" w:line="297" w:before="0" w:after="0"/>
        <w:ind w:left="0" w:firstLine="851"/>
        <w:contextualSpacing/>
        <w:jc w:val="both"/>
        <w:rPr>
          <w:rFonts w:ascii="Times New Roman" w:hAnsi="Times New Roman"/>
          <w:sz w:val="24"/>
        </w:rPr>
      </w:pPr>
      <w:r>
        <w:rPr>
          <w:rFonts w:ascii="Times New Roman" w:hAnsi="Times New Roman"/>
          <w:sz w:val="24"/>
        </w:rPr>
        <w:t>низкие сцепные качества покрытия;</w:t>
      </w:r>
    </w:p>
    <w:p>
      <w:pPr>
        <w:pStyle w:val="ListParagraph"/>
        <w:numPr>
          <w:ilvl w:val="0"/>
          <w:numId w:val="37"/>
        </w:numPr>
        <w:spacing w:lineRule="auto" w:line="297" w:before="0" w:after="0"/>
        <w:ind w:left="0" w:firstLine="851"/>
        <w:contextualSpacing/>
        <w:jc w:val="both"/>
        <w:rPr>
          <w:rFonts w:ascii="Times New Roman" w:hAnsi="Times New Roman"/>
          <w:sz w:val="24"/>
        </w:rPr>
      </w:pPr>
      <w:r>
        <w:rPr>
          <w:rFonts w:ascii="Times New Roman" w:hAnsi="Times New Roman"/>
          <w:sz w:val="24"/>
        </w:rPr>
        <w:t>неровное покрытие;</w:t>
      </w:r>
    </w:p>
    <w:p>
      <w:pPr>
        <w:pStyle w:val="ListParagraph"/>
        <w:numPr>
          <w:ilvl w:val="0"/>
          <w:numId w:val="37"/>
        </w:numPr>
        <w:spacing w:lineRule="auto" w:line="297" w:before="0" w:after="0"/>
        <w:ind w:left="0" w:firstLine="851"/>
        <w:contextualSpacing/>
        <w:jc w:val="both"/>
        <w:rPr>
          <w:rFonts w:ascii="Times New Roman" w:hAnsi="Times New Roman"/>
          <w:sz w:val="24"/>
        </w:rPr>
      </w:pPr>
      <w:r>
        <w:rPr>
          <w:rFonts w:ascii="Times New Roman" w:hAnsi="Times New Roman"/>
          <w:sz w:val="24"/>
        </w:rPr>
        <w:t>недостаточное освещение.</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Так же большое влияние на показатели аварийности оказывают опасные природные явления.</w:t>
      </w:r>
    </w:p>
    <w:p>
      <w:pPr>
        <w:pStyle w:val="Normal"/>
        <w:spacing w:lineRule="auto" w:line="297"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сложившейся ситуации проблема повышения безопасности дорожного движения в Республике Мордовия должна рассматриваться в качестве одной из главных задач по сохранению жизни и здоровья людей. С этой целью разрабатывается целевые программы повышения безопасности дорожного движения, основными задачами которых являются:</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предупреждение опасного поведения водителей автотранспортных средств.</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предупреждение опасного поведения детей и подростков на дорогах.</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 xml:space="preserve">совершенствование контрольной деятельности соответствующих органов в области обеспечения безопасности дорожного движения. </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организация дорожного движения.</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улучшение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 борьба с зимней скользкостью на мостах без применения хлоридов и песка.</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укрепление обочин на подходах к мостам, закрепление откосов насыпей, устройство водоотводов и других инженерных мероприятий для предотвращения размывов на предмостных участках, озеленение дорог.</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 xml:space="preserve">проведение анализа размещения искусственных неровностей на автомобильных дорогах. </w:t>
      </w:r>
    </w:p>
    <w:p>
      <w:pPr>
        <w:pStyle w:val="ListParagraph"/>
        <w:widowControl w:val="false"/>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 xml:space="preserve">проведение анализа размещения ограждений, разметки, дорожных знаков, освещения на автодорогах и подготовка предложений по оптимизации их установки. </w:t>
      </w:r>
    </w:p>
    <w:p>
      <w:pPr>
        <w:pStyle w:val="ListParagraph"/>
        <w:numPr>
          <w:ilvl w:val="0"/>
          <w:numId w:val="38"/>
        </w:numPr>
        <w:spacing w:lineRule="auto" w:line="297" w:before="0" w:after="0"/>
        <w:ind w:left="0" w:firstLine="851"/>
        <w:contextualSpacing/>
        <w:jc w:val="both"/>
        <w:rPr>
          <w:rFonts w:ascii="Times New Roman" w:hAnsi="Times New Roman"/>
          <w:sz w:val="24"/>
          <w:szCs w:val="24"/>
        </w:rPr>
      </w:pPr>
      <w:r>
        <w:rPr>
          <w:rFonts w:ascii="Times New Roman" w:hAnsi="Times New Roman"/>
          <w:sz w:val="24"/>
          <w:szCs w:val="24"/>
        </w:rPr>
        <w:t>очистка дорог в зимнее время от снежных валов, сужающих проезжую часть и ограничивающих видимость.</w:t>
      </w:r>
    </w:p>
    <w:p>
      <w:pPr>
        <w:pStyle w:val="Normal"/>
        <w:spacing w:lineRule="auto" w:line="297" w:before="0" w:after="0"/>
        <w:ind w:left="851" w:hanging="0"/>
        <w:contextualSpacing/>
        <w:jc w:val="both"/>
        <w:rPr>
          <w:rFonts w:ascii="Times New Roman" w:hAnsi="Times New Roman"/>
          <w:sz w:val="24"/>
          <w:szCs w:val="24"/>
        </w:rPr>
      </w:pPr>
      <w:r>
        <w:rPr>
          <w:rFonts w:ascii="Times New Roman" w:hAnsi="Times New Roman"/>
          <w:sz w:val="24"/>
          <w:szCs w:val="24"/>
        </w:rPr>
      </w:r>
    </w:p>
    <w:p>
      <w:pPr>
        <w:pStyle w:val="Normal"/>
        <w:spacing w:lineRule="auto" w:line="288"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6.2.3 Опасности, обусловленные бытовыми пожарами</w:t>
      </w:r>
    </w:p>
    <w:p>
      <w:pPr>
        <w:pStyle w:val="Normal"/>
        <w:spacing w:lineRule="auto" w:line="288" w:before="0" w:after="0"/>
        <w:ind w:firstLine="851"/>
        <w:contextualSpacing/>
        <w:jc w:val="both"/>
        <w:rPr/>
      </w:pPr>
      <w:r>
        <w:rPr/>
      </w:r>
    </w:p>
    <w:p>
      <w:pPr>
        <w:pStyle w:val="Normal"/>
        <w:spacing w:lineRule="auto" w:line="288" w:before="0" w:after="0"/>
        <w:ind w:firstLine="851"/>
        <w:contextualSpacing/>
        <w:jc w:val="both"/>
        <w:rPr/>
      </w:pPr>
      <w:r>
        <w:rPr>
          <w:rFonts w:cs="Times New Roman" w:ascii="Times New Roman" w:hAnsi="Times New Roman"/>
          <w:sz w:val="24"/>
        </w:rPr>
        <w:t xml:space="preserve">Основное количество пожаров приходится на период отопительного сезона, когда в отсутствии централизованного отопления широко   используются   различные   электроприборы, </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 xml:space="preserve">причина этого заключается в погодных условиях. </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Таким образом, основными причинами возможных пожаров в осенне-зимний период</w:t>
      </w:r>
    </w:p>
    <w:p>
      <w:pPr>
        <w:pStyle w:val="Normal"/>
        <w:spacing w:lineRule="auto" w:line="280" w:before="0" w:after="0"/>
        <w:contextualSpacing/>
        <w:jc w:val="both"/>
        <w:rPr>
          <w:rFonts w:ascii="Times New Roman" w:hAnsi="Times New Roman" w:cs="Times New Roman"/>
          <w:sz w:val="24"/>
        </w:rPr>
      </w:pPr>
      <w:r>
        <w:rPr>
          <w:rFonts w:cs="Times New Roman" w:ascii="Times New Roman" w:hAnsi="Times New Roman"/>
          <w:sz w:val="24"/>
        </w:rPr>
        <w:t>являются:</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неисправность печного или газового оборудования;</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НПУЭ теплогенерирующих устройств;</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НППБ при топке печей;</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замыкание или неисправность электропроводки;</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использование неисправных электроприборов или использование приборов с мощностью большей, чем позволяет электрическая сеть;</w:t>
      </w:r>
    </w:p>
    <w:p>
      <w:pPr>
        <w:pStyle w:val="ListParagraph"/>
        <w:numPr>
          <w:ilvl w:val="0"/>
          <w:numId w:val="39"/>
        </w:numPr>
        <w:spacing w:lineRule="auto" w:line="280" w:before="0" w:after="0"/>
        <w:ind w:left="0" w:firstLine="851"/>
        <w:contextualSpacing/>
        <w:jc w:val="both"/>
        <w:rPr>
          <w:rFonts w:ascii="Times New Roman" w:hAnsi="Times New Roman"/>
          <w:sz w:val="24"/>
        </w:rPr>
      </w:pPr>
      <w:r>
        <w:rPr>
          <w:rFonts w:ascii="Times New Roman" w:hAnsi="Times New Roman"/>
          <w:sz w:val="24"/>
        </w:rPr>
        <w:t>НППБ при эксплуатации бытовых электроприборов.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Большинство пожаров происходит из-за неосторожного обращения с огнем (в том числе по вине нетрезвых лиц и детских шалостей).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Возникновения массовых пожаров не прогнозируется, возможны локальные очаги в границах территории домовладений.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Пожары, которые могут привести к чрезвычайным ситуациям, обычно, возникают на основных зданиях и сооружениях химически опасных объектов. </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Перечень превентивных мероприятий:</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1. Проверка противопожарного состояния объектов.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2. Проведение ПТУ и ПТЗ на объектах сельского поселения.</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3. Противопожарная пропаганда.</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0" w:before="0" w:after="0"/>
        <w:ind w:firstLine="851"/>
        <w:contextualSpacing/>
        <w:jc w:val="both"/>
        <w:rPr>
          <w:rFonts w:ascii="Times New Roman" w:hAnsi="Times New Roman" w:cs="Times New Roman"/>
          <w:b/>
          <w:b/>
          <w:color w:val="365F91" w:themeColor="accent1" w:themeShade="bf"/>
          <w:sz w:val="24"/>
          <w:szCs w:val="24"/>
        </w:rPr>
      </w:pPr>
      <w:r>
        <w:rPr>
          <w:rFonts w:cs="Times New Roman" w:ascii="Times New Roman" w:hAnsi="Times New Roman"/>
          <w:b/>
          <w:color w:val="365F91" w:themeColor="accent1" w:themeShade="bf"/>
          <w:sz w:val="24"/>
          <w:szCs w:val="24"/>
        </w:rPr>
        <w:t>6.2.4 Аварии на сетях и коммунальных объектах</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На сетях коммунальной инфраструктуры происходит значительное количество аварий, но из-за слаборазвитой коммунальной сети на территории района и минимального их влияния на жизнеобеспечение сельских поселений, последствия их незначительны, не наносится большой материальный ущерб и вред окружающей среде, не причиняется травм большому числу людей.</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Источниками водоснабжения промышленных предприятий, объектов соцкультбыта и жилого фонда являются подземные воды.</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Для повышения надежности проектируемых сетей водоснабжения необходимо провести следующие мероприятия:</w:t>
      </w:r>
    </w:p>
    <w:p>
      <w:pPr>
        <w:pStyle w:val="ListParagraph"/>
        <w:numPr>
          <w:ilvl w:val="0"/>
          <w:numId w:val="39"/>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защита водоисточников и резервуаров чистой воды от радиационного, химического и бактериологического заражения;</w:t>
      </w:r>
    </w:p>
    <w:p>
      <w:pPr>
        <w:pStyle w:val="ListParagraph"/>
        <w:numPr>
          <w:ilvl w:val="0"/>
          <w:numId w:val="40"/>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усиление охраны водоочистных сооружений, котельных и др. жизнеобеспечивающих объектов;</w:t>
      </w:r>
    </w:p>
    <w:p>
      <w:pPr>
        <w:pStyle w:val="ListParagraph"/>
        <w:numPr>
          <w:ilvl w:val="0"/>
          <w:numId w:val="41"/>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наличие резервного электроснабжения;</w:t>
      </w:r>
    </w:p>
    <w:p>
      <w:pPr>
        <w:pStyle w:val="ListParagraph"/>
        <w:numPr>
          <w:ilvl w:val="0"/>
          <w:numId w:val="41"/>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замена устаревшего оборудования на новое, применение новых технологий производства;</w:t>
      </w:r>
    </w:p>
    <w:p>
      <w:pPr>
        <w:pStyle w:val="ListParagraph"/>
        <w:numPr>
          <w:ilvl w:val="0"/>
          <w:numId w:val="41"/>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обучение и повышение квалификации работников предприятий;</w:t>
      </w:r>
    </w:p>
    <w:p>
      <w:pPr>
        <w:pStyle w:val="ListParagraph"/>
        <w:numPr>
          <w:ilvl w:val="0"/>
          <w:numId w:val="41"/>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создание аварийного запаса материалов.</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Газификация промышленных предприятий, объектов соцкультбыта и жилого фонда с целью удовлетворения коммунально-бытовых нужд, на отопление, горячее водоснабжение, приготовление пищи, осуществляется за счет подземных и надземных газопроводов и баллонов сжиженного газа.</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Для обеспечения безопасности газопроводов предусматриваются следующие мероприятия:</w:t>
      </w:r>
    </w:p>
    <w:p>
      <w:pPr>
        <w:pStyle w:val="ListParagraph"/>
        <w:numPr>
          <w:ilvl w:val="0"/>
          <w:numId w:val="42"/>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телефонов газовой службы, районного отдела по делам ГО и ЧС;</w:t>
      </w:r>
    </w:p>
    <w:p>
      <w:pPr>
        <w:pStyle w:val="ListParagraph"/>
        <w:numPr>
          <w:ilvl w:val="0"/>
          <w:numId w:val="42"/>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На объектах повышенной опасности (помещениях котельных, газорегуляторного пункта, АГРС)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pPr>
        <w:pStyle w:val="Normal"/>
        <w:spacing w:lineRule="auto" w:line="280"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Предотвращение образования взрыво- и пожароопасной среды на объектах повышенной опасности обеспечивается:</w:t>
      </w:r>
    </w:p>
    <w:p>
      <w:pPr>
        <w:pStyle w:val="ListParagraph"/>
        <w:numPr>
          <w:ilvl w:val="0"/>
          <w:numId w:val="43"/>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применением герметичного производственного оборудования;</w:t>
      </w:r>
    </w:p>
    <w:p>
      <w:pPr>
        <w:pStyle w:val="ListParagraph"/>
        <w:numPr>
          <w:ilvl w:val="0"/>
          <w:numId w:val="43"/>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соблюдением норм технологического режима;</w:t>
      </w:r>
    </w:p>
    <w:p>
      <w:pPr>
        <w:pStyle w:val="ListParagraph"/>
        <w:numPr>
          <w:ilvl w:val="0"/>
          <w:numId w:val="43"/>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контролем состава воздушной среды и применением аварийной вентиляции. </w:t>
      </w:r>
    </w:p>
    <w:p>
      <w:pPr>
        <w:pStyle w:val="ListParagraph"/>
        <w:numPr>
          <w:ilvl w:val="0"/>
          <w:numId w:val="43"/>
        </w:numPr>
        <w:spacing w:lineRule="auto" w:line="280" w:before="0" w:after="0"/>
        <w:ind w:left="0" w:firstLine="851"/>
        <w:contextualSpacing/>
        <w:jc w:val="both"/>
        <w:rPr>
          <w:rFonts w:ascii="Times New Roman" w:hAnsi="Times New Roman"/>
          <w:sz w:val="24"/>
          <w:szCs w:val="24"/>
        </w:rPr>
      </w:pPr>
      <w:r>
        <w:rPr>
          <w:rFonts w:ascii="Times New Roman" w:hAnsi="Times New Roman"/>
          <w:sz w:val="24"/>
          <w:szCs w:val="24"/>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непосредственной близости с лесными зонами.</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6.2.5 Биолого-социальные опасности, мероприятия по консервации скотомогильников</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Источником биолого-социальной ЧС является особо опасная или                                            широко распространенная инфекционная болезнь людей, сельскохозяйственных животных</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и растений (ГОСТ Р 22.0.04-95).</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Наибольшую опасность из группы биолого-социальных   ЧС   представляют   болезни</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w:t>
      </w:r>
    </w:p>
    <w:p>
      <w:pPr>
        <w:pStyle w:val="Normal"/>
        <w:spacing w:lineRule="auto" w:line="288" w:before="0" w:after="0"/>
        <w:contextualSpacing/>
        <w:jc w:val="both"/>
        <w:rPr>
          <w:rFonts w:ascii="Times New Roman" w:hAnsi="Times New Roman" w:cs="Times New Roman"/>
          <w:sz w:val="24"/>
        </w:rPr>
      </w:pPr>
      <w:r>
        <w:rPr>
          <w:rFonts w:cs="Times New Roman" w:ascii="Times New Roman" w:hAnsi="Times New Roman"/>
          <w:sz w:val="24"/>
        </w:rPr>
        <w:t xml:space="preserve">Соответствии с СП 3.1.096-96, ВП 13.3.1103-96 «Профилактика и борьба с заразными болезнями, общими для человека и животных. Бешенство». </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токсикантами,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 животных в леса, в районы природоохранных зон, на территории объектов, имеющих особое природоохранное значение несоответствие скотомогильников и биотермических ям установленным требованиям.</w:t>
      </w:r>
    </w:p>
    <w:p>
      <w:pPr>
        <w:pStyle w:val="Normal"/>
        <w:spacing w:lineRule="auto" w:line="288" w:before="0" w:after="0"/>
        <w:ind w:firstLine="851"/>
        <w:contextualSpacing/>
        <w:jc w:val="both"/>
        <w:rPr>
          <w:rFonts w:ascii="Times New Roman" w:hAnsi="Times New Roman" w:cs="Times New Roman"/>
          <w:sz w:val="24"/>
        </w:rPr>
      </w:pPr>
      <w:r>
        <w:rPr>
          <w:rFonts w:cs="Times New Roman" w:ascii="Times New Roman" w:hAnsi="Times New Roman"/>
          <w:sz w:val="24"/>
        </w:rPr>
        <w:t>Скотомогильники – это специально оборудованные и огороженные места для долговременного и надежного захоронения биологических отходов, которыми являются:</w:t>
      </w:r>
    </w:p>
    <w:p>
      <w:pPr>
        <w:pStyle w:val="ListParagraph"/>
        <w:numPr>
          <w:ilvl w:val="0"/>
          <w:numId w:val="44"/>
        </w:numPr>
        <w:spacing w:lineRule="auto" w:line="288" w:before="0" w:after="0"/>
        <w:ind w:left="0" w:firstLine="851"/>
        <w:contextualSpacing/>
        <w:jc w:val="both"/>
        <w:rPr>
          <w:rFonts w:ascii="Times New Roman" w:hAnsi="Times New Roman"/>
          <w:sz w:val="24"/>
        </w:rPr>
      </w:pPr>
      <w:r>
        <w:rPr>
          <w:rFonts w:ascii="Times New Roman" w:hAnsi="Times New Roman"/>
          <w:sz w:val="24"/>
        </w:rPr>
        <w:t>трупы животных и птиц, в том числе лабораторных;</w:t>
      </w:r>
    </w:p>
    <w:p>
      <w:pPr>
        <w:pStyle w:val="ListParagraph"/>
        <w:numPr>
          <w:ilvl w:val="0"/>
          <w:numId w:val="44"/>
        </w:numPr>
        <w:spacing w:lineRule="auto" w:line="288" w:before="0" w:after="0"/>
        <w:ind w:left="0" w:firstLine="851"/>
        <w:contextualSpacing/>
        <w:jc w:val="both"/>
        <w:rPr>
          <w:rFonts w:ascii="Times New Roman" w:hAnsi="Times New Roman"/>
          <w:sz w:val="24"/>
        </w:rPr>
      </w:pPr>
      <w:r>
        <w:rPr>
          <w:rFonts w:ascii="Times New Roman" w:hAnsi="Times New Roman"/>
          <w:sz w:val="24"/>
        </w:rPr>
        <w:t>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и рыбоперерабатывающих организациях, на рынках, в организациях торговли и других объектах;</w:t>
      </w:r>
    </w:p>
    <w:p>
      <w:pPr>
        <w:pStyle w:val="ListParagraph"/>
        <w:numPr>
          <w:ilvl w:val="0"/>
          <w:numId w:val="44"/>
        </w:numPr>
        <w:spacing w:lineRule="auto" w:line="302" w:before="0" w:after="0"/>
        <w:ind w:left="0" w:firstLine="851"/>
        <w:contextualSpacing/>
        <w:jc w:val="both"/>
        <w:rPr/>
      </w:pPr>
      <w:r>
        <w:rPr>
          <w:rFonts w:ascii="Times New Roman" w:hAnsi="Times New Roman"/>
          <w:sz w:val="24"/>
        </w:rPr>
        <w:t>другие отходы, получаемые при переработке пищевого и непищевого сырья животного происхождения.</w:t>
      </w:r>
    </w:p>
    <w:p>
      <w:pPr>
        <w:pStyle w:val="Normal"/>
        <w:spacing w:lineRule="auto" w:line="302" w:before="0" w:after="0"/>
        <w:ind w:left="851" w:hanging="0"/>
        <w:contextualSpacing/>
        <w:jc w:val="both"/>
        <w:rPr/>
      </w:pPr>
      <w:r>
        <w:rPr/>
      </w:r>
    </w:p>
    <w:p>
      <w:pPr>
        <w:pStyle w:val="Normal"/>
        <w:spacing w:lineRule="auto" w:line="302"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6.3 Мероприятия по предотвращению чрезвычайных ситуаций природного, техногенного и биологического характера</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 новых территорий проектом предлагаются мероприятия по предотвращению чрезвычайных ситуаций природного и техногенного характера:</w:t>
      </w:r>
    </w:p>
    <w:p>
      <w:pPr>
        <w:pStyle w:val="ListParagraph"/>
        <w:numPr>
          <w:ilvl w:val="0"/>
          <w:numId w:val="45"/>
        </w:numPr>
        <w:spacing w:lineRule="auto" w:line="302" w:before="0" w:after="0"/>
        <w:ind w:left="0" w:firstLine="851"/>
        <w:contextualSpacing/>
        <w:jc w:val="both"/>
        <w:rPr>
          <w:rFonts w:ascii="Times New Roman" w:hAnsi="Times New Roman"/>
          <w:sz w:val="24"/>
        </w:rPr>
      </w:pPr>
      <w:r>
        <w:rPr>
          <w:rFonts w:ascii="Times New Roman" w:hAnsi="Times New Roman"/>
          <w:sz w:val="24"/>
        </w:rPr>
        <w:t>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устройство ограждений, разметка, установка дорожных знаков, улучшение освещения на автодорогах;</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укрепление обочин, откосов насыпей, устройство водоотводов и других</w:t>
      </w:r>
    </w:p>
    <w:p>
      <w:pPr>
        <w:pStyle w:val="Normal"/>
        <w:spacing w:lineRule="auto" w:line="302" w:before="0" w:after="0"/>
        <w:contextualSpacing/>
        <w:jc w:val="both"/>
        <w:rPr>
          <w:rFonts w:ascii="Times New Roman" w:hAnsi="Times New Roman"/>
          <w:sz w:val="24"/>
        </w:rPr>
      </w:pPr>
      <w:r>
        <w:rPr>
          <w:rFonts w:ascii="Times New Roman" w:hAnsi="Times New Roman"/>
          <w:sz w:val="24"/>
        </w:rPr>
        <w:t>инженерных мероприятий для предотвращения размывов на предмостных участках;</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организация дистанционного контроля за состоянием газопроводов;</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регулярная проверка соблюдения действующих норм и правил по промышленной безопасности;</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своевременное выполнение предписаний Госгортехнадзора России и других надзорных органов;</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усиление противопожарных мероприятий в местах массового сосредоточения людей;</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контроль за соблюдением правил пожарной безопасности;</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в населенных пунктах, где нет централизованной системы водоснабжения, должно быть предусмотрено строительство местных противопожарных водоемов;</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pPr>
        <w:pStyle w:val="ListParagraph"/>
        <w:numPr>
          <w:ilvl w:val="0"/>
          <w:numId w:val="46"/>
        </w:numPr>
        <w:spacing w:lineRule="auto" w:line="302" w:before="0" w:after="0"/>
        <w:ind w:left="0" w:firstLine="851"/>
        <w:contextualSpacing/>
        <w:jc w:val="both"/>
        <w:rPr>
          <w:rFonts w:ascii="Times New Roman" w:hAnsi="Times New Roman"/>
          <w:sz w:val="24"/>
        </w:rPr>
      </w:pPr>
      <w:r>
        <w:rPr>
          <w:rFonts w:ascii="Times New Roman" w:hAnsi="Times New Roman"/>
          <w:sz w:val="24"/>
        </w:rPr>
        <w:t xml:space="preserve">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 Перечень мероприятий по обеспечению пожарной безопасности</w:t>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6.4.1 Наружное противопожарное водоснабжение</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Основные понятия: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Водоснабжение – подача воды от водоисточников к местам потребления для обеспечения нужд населения и мероприятий (в т.ч. противопожарных);</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Гидрант – техническое устройство, предназначенное для забора воды из водопровода передвижной пожарной техникой;</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pPr>
        <w:pStyle w:val="Normal"/>
        <w:spacing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ФЗ, главе 15 статьи 68 п. 2 «Противопожарное водоснабжение сельских поселений и городских округов» к источникам наружного противопожарного водоснабжения относятся:</w:t>
      </w:r>
    </w:p>
    <w:p>
      <w:pPr>
        <w:pStyle w:val="ListParagraph"/>
        <w:numPr>
          <w:ilvl w:val="0"/>
          <w:numId w:val="47"/>
        </w:numPr>
        <w:spacing w:before="0" w:after="0"/>
        <w:ind w:left="0" w:firstLine="851"/>
        <w:contextualSpacing/>
        <w:jc w:val="both"/>
        <w:rPr>
          <w:rFonts w:ascii="Times New Roman" w:hAnsi="Times New Roman"/>
          <w:sz w:val="24"/>
        </w:rPr>
      </w:pPr>
      <w:r>
        <w:rPr>
          <w:rFonts w:ascii="Times New Roman" w:hAnsi="Times New Roman"/>
          <w:sz w:val="24"/>
        </w:rPr>
        <w:t xml:space="preserve">наружные водопроводные сети с пожарными гидрантами; </w:t>
      </w:r>
    </w:p>
    <w:p>
      <w:pPr>
        <w:pStyle w:val="ListParagraph"/>
        <w:numPr>
          <w:ilvl w:val="0"/>
          <w:numId w:val="47"/>
        </w:numPr>
        <w:spacing w:before="0" w:after="0"/>
        <w:ind w:left="0" w:firstLine="851"/>
        <w:contextualSpacing/>
        <w:jc w:val="both"/>
        <w:rPr>
          <w:rFonts w:ascii="Times New Roman" w:hAnsi="Times New Roman"/>
          <w:sz w:val="24"/>
        </w:rPr>
      </w:pPr>
      <w:r>
        <w:rPr>
          <w:rFonts w:ascii="Times New Roman" w:hAnsi="Times New Roman"/>
          <w:sz w:val="24"/>
        </w:rPr>
        <w:t>водные объекты (природные или искусственные водоемы (резервуары)),</w:t>
      </w:r>
    </w:p>
    <w:p>
      <w:pPr>
        <w:pStyle w:val="Normal"/>
        <w:spacing w:lineRule="auto" w:line="292" w:before="0" w:after="0"/>
        <w:contextualSpacing/>
        <w:jc w:val="both"/>
        <w:rPr>
          <w:rFonts w:ascii="Times New Roman" w:hAnsi="Times New Roman"/>
          <w:sz w:val="24"/>
        </w:rPr>
      </w:pPr>
      <w:r>
        <w:rPr>
          <w:rFonts w:ascii="Times New Roman" w:hAnsi="Times New Roman"/>
          <w:sz w:val="24"/>
        </w:rPr>
        <w:t>используемые для целей пожаротушения в соответствии с законодательством Российской Федерации.</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СП 8.13130.2009 «Системы противопожарной защиты. Источники наружного</w:t>
      </w:r>
    </w:p>
    <w:p>
      <w:pPr>
        <w:pStyle w:val="Normal"/>
        <w:spacing w:lineRule="auto" w:line="292" w:before="0" w:after="0"/>
        <w:contextualSpacing/>
        <w:jc w:val="both"/>
        <w:rPr>
          <w:rFonts w:ascii="Times New Roman" w:hAnsi="Times New Roman" w:cs="Times New Roman"/>
          <w:sz w:val="24"/>
        </w:rPr>
      </w:pPr>
      <w:r>
        <w:rPr>
          <w:rFonts w:cs="Times New Roman" w:ascii="Times New Roman" w:hAnsi="Times New Roman"/>
          <w:sz w:val="24"/>
        </w:rPr>
        <w:t>противопожарного водоснабжения. Требования пожарной безопасности» п. 8.4 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ФЗ, п. 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8.6 (СНиП 2.04.02-84* «Водоснабжение. Наружные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(при наличии автонасосов), 100-150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пп. 5.2-5.8 и 6.3.</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 6.3 Продолжительность тушения пожара должна приниматься 3 часа;</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Для зданий I и II степени огнестойкости с негорючими несущими конструкциями   и</w:t>
      </w:r>
    </w:p>
    <w:p>
      <w:pPr>
        <w:pStyle w:val="Normal"/>
        <w:spacing w:lineRule="auto" w:line="302" w:before="0" w:after="0"/>
        <w:contextualSpacing/>
        <w:jc w:val="both"/>
        <w:rPr>
          <w:rFonts w:ascii="Times New Roman" w:hAnsi="Times New Roman" w:cs="Times New Roman"/>
          <w:sz w:val="24"/>
        </w:rPr>
      </w:pPr>
      <w:r>
        <w:rPr>
          <w:rFonts w:cs="Times New Roman" w:ascii="Times New Roman" w:hAnsi="Times New Roman"/>
          <w:sz w:val="24"/>
        </w:rPr>
        <w:t>утеплителем с помещениями Г и Д по пожарной и взрывопожарной опасности – 2 часа.</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302" w:before="0" w:after="0"/>
        <w:contextualSpacing/>
        <w:jc w:val="center"/>
        <w:rPr>
          <w:rFonts w:ascii="Times New Roman" w:hAnsi="Times New Roman" w:cs="Times New Roman"/>
          <w:sz w:val="24"/>
        </w:rPr>
      </w:pPr>
      <w:r>
        <w:rPr/>
      </w:r>
      <m:oMath xmlns:m="http://schemas.openxmlformats.org/officeDocument/2006/math">
        <m:sSub>
          <m:e>
            <m:r>
              <w:rPr>
                <w:rFonts w:ascii="Cambria Math" w:hAnsi="Cambria Math"/>
              </w:rPr>
              <m:t xml:space="preserve">V</m:t>
            </m:r>
          </m:e>
          <m:sub>
            <m:r>
              <m:rPr>
                <m:lit/>
                <m:nor/>
              </m:rPr>
              <w:rPr>
                <w:rFonts w:ascii="Cambria Math" w:hAnsi="Cambria Math"/>
              </w:rPr>
              <m:t xml:space="preserve">пр</m:t>
            </m:r>
          </m:sub>
        </m:sSub>
        <m:r>
          <w:rPr>
            <w:rFonts w:ascii="Cambria Math" w:hAnsi="Cambria Math"/>
          </w:rPr>
          <m:t xml:space="preserve">=</m:t>
        </m:r>
        <m:f>
          <m:num>
            <m:sSub>
              <m:e>
                <m:r>
                  <w:rPr>
                    <w:rFonts w:ascii="Cambria Math" w:hAnsi="Cambria Math"/>
                  </w:rPr>
                  <m:t xml:space="preserve">F</m:t>
                </m:r>
              </m:e>
              <m:sub>
                <m:r>
                  <w:rPr>
                    <w:rFonts w:ascii="Cambria Math" w:hAnsi="Cambria Math"/>
                  </w:rPr>
                  <m:t xml:space="preserve">в</m:t>
                </m:r>
              </m:sub>
            </m:sSub>
            <m:r>
              <w:rPr>
                <w:rFonts w:ascii="Cambria Math" w:hAnsi="Cambria Math"/>
              </w:rPr>
              <m:t xml:space="preserve">×</m:t>
            </m:r>
            <m:sSub>
              <m:e>
                <m:r>
                  <w:rPr>
                    <w:rFonts w:ascii="Cambria Math" w:hAnsi="Cambria Math"/>
                  </w:rPr>
                  <m:t xml:space="preserve">T</m:t>
                </m:r>
              </m:e>
              <m:sub>
                <m:r>
                  <m:rPr>
                    <m:lit/>
                    <m:nor/>
                  </m:rPr>
                  <w:rPr>
                    <w:rFonts w:ascii="Cambria Math" w:hAnsi="Cambria Math"/>
                  </w:rPr>
                  <m:t xml:space="preserve">тп</m:t>
                </m:r>
              </m:sub>
            </m:sSub>
          </m:num>
          <m:den>
            <m:r>
              <m:rPr>
                <m:lit/>
                <m:nor/>
              </m:rPr>
              <w:rPr>
                <w:rFonts w:ascii="Cambria Math" w:hAnsi="Cambria Math"/>
              </w:rPr>
              <m:t xml:space="preserve">1000</m:t>
            </m:r>
          </m:den>
        </m:f>
        <m:r>
          <w:rPr>
            <w:rFonts w:ascii="Cambria Math" w:hAnsi="Cambria Math"/>
          </w:rPr>
          <m:t xml:space="preserve">=</m:t>
        </m:r>
        <m:f>
          <m:num>
            <m:r>
              <m:rPr>
                <m:lit/>
                <m:nor/>
              </m:rPr>
              <w:rPr>
                <w:rFonts w:ascii="Cambria Math" w:hAnsi="Cambria Math"/>
              </w:rPr>
              <m:t xml:space="preserve">15</m:t>
            </m:r>
            <m:r>
              <w:rPr>
                <w:rFonts w:ascii="Cambria Math" w:hAnsi="Cambria Math"/>
              </w:rPr>
              <m:t xml:space="preserve">×</m:t>
            </m:r>
            <m:r>
              <m:rPr>
                <m:lit/>
                <m:nor/>
              </m:rPr>
              <w:rPr>
                <w:rFonts w:ascii="Cambria Math" w:hAnsi="Cambria Math"/>
              </w:rPr>
              <m:t xml:space="preserve">10800</m:t>
            </m:r>
          </m:num>
          <m:den>
            <m:r>
              <m:rPr>
                <m:lit/>
                <m:nor/>
              </m:rPr>
              <w:rPr>
                <w:rFonts w:ascii="Cambria Math" w:hAnsi="Cambria Math"/>
              </w:rPr>
              <m:t xml:space="preserve">1000</m:t>
            </m:r>
          </m:den>
        </m:f>
        <m:r>
          <w:rPr>
            <w:rFonts w:ascii="Cambria Math" w:hAnsi="Cambria Math"/>
          </w:rPr>
          <m:t xml:space="preserve">=</m:t>
        </m:r>
        <m:r>
          <m:rPr>
            <m:lit/>
            <m:nor/>
          </m:rPr>
          <w:rPr>
            <w:rFonts w:ascii="Cambria Math" w:hAnsi="Cambria Math"/>
          </w:rPr>
          <m:t xml:space="preserve">162</m:t>
        </m:r>
        <m:sSup>
          <m:e>
            <m:r>
              <w:rPr>
                <w:rFonts w:ascii="Cambria Math" w:hAnsi="Cambria Math"/>
              </w:rPr>
              <m:t xml:space="preserve">м</m:t>
            </m:r>
          </m:e>
          <m:sup>
            <m:r>
              <w:rPr>
                <w:rFonts w:ascii="Cambria Math" w:hAnsi="Cambria Math"/>
              </w:rPr>
              <m:t xml:space="preserve">3</m:t>
            </m:r>
          </m:sup>
        </m:sSup>
        <m:r>
          <w:rPr>
            <w:rFonts w:ascii="Cambria Math" w:hAnsi="Cambria Math"/>
          </w:rPr>
          <m:t xml:space="preserve">≈</m:t>
        </m:r>
        <m:r>
          <m:rPr>
            <m:lit/>
            <m:nor/>
          </m:rPr>
          <w:rPr>
            <w:rFonts w:ascii="Cambria Math" w:hAnsi="Cambria Math"/>
          </w:rPr>
          <m:t xml:space="preserve">165</m:t>
        </m:r>
        <m:sSup>
          <m:e>
            <m:r>
              <w:rPr>
                <w:rFonts w:ascii="Cambria Math" w:hAnsi="Cambria Math"/>
              </w:rPr>
              <m:t xml:space="preserve">м</m:t>
            </m:r>
          </m:e>
          <m:sup>
            <m:r>
              <w:rPr>
                <w:rFonts w:ascii="Cambria Math" w:hAnsi="Cambria Math"/>
              </w:rPr>
              <m:t xml:space="preserve">3</m:t>
            </m:r>
          </m:sup>
        </m:sSup>
        <m:r>
          <w:rPr>
            <w:rFonts w:ascii="Cambria Math" w:hAnsi="Cambria Math"/>
          </w:rPr>
          <m:t xml:space="preserve">;</m:t>
        </m:r>
      </m:oMath>
    </w:p>
    <w:p>
      <w:pPr>
        <w:pStyle w:val="Normal"/>
        <w:spacing w:lineRule="auto" w:line="302" w:before="0" w:after="0"/>
        <w:contextualSpacing/>
        <w:jc w:val="center"/>
        <w:rPr>
          <w:rFonts w:ascii="Times New Roman" w:hAnsi="Times New Roman" w:cs="Times New Roman"/>
          <w:sz w:val="24"/>
        </w:rPr>
      </w:pPr>
      <w:r>
        <w:rPr>
          <w:rFonts w:cs="Times New Roman" w:ascii="Times New Roman" w:hAnsi="Times New Roman"/>
          <w:sz w:val="24"/>
        </w:rPr>
      </w:r>
    </w:p>
    <w:p>
      <w:pPr>
        <w:pStyle w:val="Normal"/>
        <w:spacing w:lineRule="auto" w:line="302" w:before="0" w:after="0"/>
        <w:ind w:firstLine="709"/>
        <w:contextualSpacing/>
        <w:jc w:val="both"/>
        <w:rPr>
          <w:rFonts w:ascii="Times New Roman" w:hAnsi="Times New Roman" w:cs="Times New Roman"/>
          <w:sz w:val="24"/>
        </w:rPr>
      </w:pPr>
      <w:r>
        <w:rPr>
          <w:rFonts w:cs="Times New Roman" w:ascii="Times New Roman" w:hAnsi="Times New Roman"/>
          <w:sz w:val="24"/>
        </w:rPr>
        <w:t>где</w:t>
        <w:tab/>
      </w:r>
      <w:r>
        <w:rPr/>
      </w:r>
      <m:oMath xmlns:m="http://schemas.openxmlformats.org/officeDocument/2006/math">
        <m:sSub>
          <m:e>
            <m:r>
              <w:rPr>
                <w:rFonts w:ascii="Cambria Math" w:hAnsi="Cambria Math"/>
              </w:rPr>
              <m:t xml:space="preserve">V</m:t>
            </m:r>
          </m:e>
          <m:sub>
            <m:r>
              <m:rPr>
                <m:lit/>
                <m:nor/>
              </m:rPr>
              <w:rPr>
                <w:rFonts w:ascii="Cambria Math" w:hAnsi="Cambria Math"/>
              </w:rPr>
              <m:t xml:space="preserve">пр</m:t>
            </m:r>
          </m:sub>
        </m:sSub>
      </m:oMath>
      <w:r>
        <w:rPr>
          <w:rFonts w:cs="Times New Roman" w:ascii="Times New Roman" w:hAnsi="Times New Roman"/>
          <w:sz w:val="24"/>
        </w:rPr>
        <w:tab/>
        <w:t>– объем пожарного резервуара или искусственного водоема, м3;</w:t>
      </w:r>
    </w:p>
    <w:p>
      <w:pPr>
        <w:pStyle w:val="Normal"/>
        <w:spacing w:lineRule="auto" w:line="302" w:before="0" w:after="0"/>
        <w:ind w:firstLine="709"/>
        <w:contextualSpacing/>
        <w:jc w:val="both"/>
        <w:rPr>
          <w:rFonts w:ascii="Times New Roman" w:hAnsi="Times New Roman" w:cs="Times New Roman"/>
          <w:sz w:val="24"/>
        </w:rPr>
      </w:pPr>
      <w:r>
        <w:rPr/>
      </w:r>
      <m:oMath xmlns:m="http://schemas.openxmlformats.org/officeDocument/2006/math">
        <m:sSub>
          <m:e>
            <m:r>
              <w:rPr>
                <w:rFonts w:ascii="Cambria Math" w:hAnsi="Cambria Math"/>
              </w:rPr>
              <m:t xml:space="preserve">F</m:t>
            </m:r>
          </m:e>
          <m:sub>
            <m:r>
              <w:rPr>
                <w:rFonts w:ascii="Cambria Math" w:hAnsi="Cambria Math"/>
              </w:rPr>
              <m:t xml:space="preserve">в</m:t>
            </m:r>
          </m:sub>
        </m:sSub>
      </m:oMath>
      <w:r>
        <w:rPr>
          <w:rFonts w:cs="Times New Roman" w:ascii="Times New Roman" w:hAnsi="Times New Roman"/>
          <w:sz w:val="24"/>
        </w:rPr>
        <w:tab/>
        <w:t>– расход воды на наружное пожаротушение зданий, л/сек;</w:t>
      </w:r>
    </w:p>
    <w:p>
      <w:pPr>
        <w:pStyle w:val="Normal"/>
        <w:spacing w:lineRule="auto" w:line="302" w:before="0" w:after="0"/>
        <w:ind w:firstLine="709"/>
        <w:contextualSpacing/>
        <w:jc w:val="both"/>
        <w:rPr>
          <w:rFonts w:ascii="Times New Roman" w:hAnsi="Times New Roman" w:cs="Times New Roman"/>
          <w:sz w:val="24"/>
        </w:rPr>
      </w:pPr>
      <w:r>
        <w:rPr/>
      </w:r>
      <m:oMath xmlns:m="http://schemas.openxmlformats.org/officeDocument/2006/math">
        <m:sSub>
          <m:e>
            <m:r>
              <w:rPr>
                <w:rFonts w:ascii="Cambria Math" w:hAnsi="Cambria Math"/>
              </w:rPr>
              <m:t xml:space="preserve">T</m:t>
            </m:r>
          </m:e>
          <m:sub>
            <m:r>
              <m:rPr>
                <m:lit/>
                <m:nor/>
              </m:rPr>
              <w:rPr>
                <w:rFonts w:ascii="Cambria Math" w:hAnsi="Cambria Math"/>
              </w:rPr>
              <m:t xml:space="preserve">тп</m:t>
            </m:r>
          </m:sub>
        </m:sSub>
      </m:oMath>
      <w:r>
        <w:rPr>
          <w:rFonts w:cs="Times New Roman" w:ascii="Times New Roman" w:hAnsi="Times New Roman"/>
          <w:sz w:val="24"/>
        </w:rPr>
        <w:tab/>
        <w:t>– продолжительность тушения пожара, сек.</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 9.10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Исходя из изложенного, допускается размещать двойные резервуары общим объемом 330 м3.</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п.6.4 СП 8.13130.2009 максимально допустимый срок восстановления пожарного объема воды должен быть не более 72 ч.</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Расстояние между пожарными резервуарами или искусственными водоемами следует</w:t>
      </w:r>
    </w:p>
    <w:p>
      <w:pPr>
        <w:pStyle w:val="Normal"/>
        <w:spacing w:lineRule="auto" w:line="302" w:before="0" w:after="0"/>
        <w:contextualSpacing/>
        <w:jc w:val="both"/>
        <w:rPr>
          <w:rFonts w:ascii="Times New Roman" w:hAnsi="Times New Roman" w:cs="Times New Roman"/>
          <w:sz w:val="24"/>
        </w:rPr>
      </w:pPr>
      <w:r>
        <w:rPr>
          <w:rFonts w:cs="Times New Roman" w:ascii="Times New Roman" w:hAnsi="Times New Roman"/>
          <w:sz w:val="24"/>
        </w:rPr>
        <w:t>принимать согласно п. 9.11, при этом подача воды на тушение пожара должна обеспечиваться из двух соседних резервуаров или водоемов.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При наличии автонасосов – 200 метров;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При наличии мотопомп – 100-150 метров в зависимости от технических возможностей мотопомп.</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 с учетом требований п. 9.9.</w:t>
      </w:r>
    </w:p>
    <w:p>
      <w:pPr>
        <w:pStyle w:val="Normal"/>
        <w:spacing w:lineRule="auto" w:line="280" w:before="0" w:after="0"/>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92"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6.4.2 Проезды и подъезды к зданиям, сооружениям и строениям</w:t>
      </w:r>
    </w:p>
    <w:p>
      <w:pPr>
        <w:pStyle w:val="Normal"/>
        <w:spacing w:lineRule="auto" w:line="292"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автолестниц или автоподъемников в любую квартиру или помещения.</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Расстояние от края проезда до стены здания, как правило, следует принимать 5-8 метров для зданий до 10 этажей включительно. В этой зоне не допускается размещать</w:t>
      </w:r>
    </w:p>
    <w:p>
      <w:pPr>
        <w:pStyle w:val="Normal"/>
        <w:spacing w:lineRule="auto" w:line="297" w:before="0" w:after="0"/>
        <w:contextualSpacing/>
        <w:jc w:val="both"/>
        <w:rPr>
          <w:rFonts w:ascii="Times New Roman" w:hAnsi="Times New Roman" w:cs="Times New Roman"/>
          <w:sz w:val="24"/>
        </w:rPr>
      </w:pPr>
      <w:r>
        <w:rPr>
          <w:rFonts w:cs="Times New Roman" w:ascii="Times New Roman" w:hAnsi="Times New Roman"/>
          <w:sz w:val="24"/>
        </w:rPr>
        <w:t>ограждения, воздушные линии электропередач, осуществлять рядовую подсадку деревьев.</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ФЗ, главе 15 статьи 67 «Проходы, проезды и подъезды к зданиям,</w:t>
      </w:r>
    </w:p>
    <w:p>
      <w:pPr>
        <w:pStyle w:val="Normal"/>
        <w:spacing w:lineRule="auto" w:line="297" w:before="0" w:after="0"/>
        <w:contextualSpacing/>
        <w:jc w:val="both"/>
        <w:rPr>
          <w:rFonts w:ascii="Times New Roman" w:hAnsi="Times New Roman" w:cs="Times New Roman"/>
          <w:sz w:val="24"/>
        </w:rPr>
      </w:pPr>
      <w:r>
        <w:rPr>
          <w:rFonts w:cs="Times New Roman" w:ascii="Times New Roman" w:hAnsi="Times New Roman"/>
          <w:sz w:val="24"/>
        </w:rPr>
        <w:t>сооружениям и строениям»:</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Ширина проездов для пожарной техники должна составлять не менее 6 метров.</w:t>
      </w:r>
    </w:p>
    <w:p>
      <w:pPr>
        <w:pStyle w:val="Normal"/>
        <w:widowControl w:val="false"/>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pPr>
        <w:pStyle w:val="Normal"/>
        <w:widowControl w:val="false"/>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Сквозные проезды (арки) в зданиях, сооружениях и строениях должны быть шириной</w:t>
      </w:r>
    </w:p>
    <w:p>
      <w:pPr>
        <w:pStyle w:val="Normal"/>
        <w:spacing w:lineRule="auto" w:line="292" w:before="0" w:after="0"/>
        <w:contextualSpacing/>
        <w:jc w:val="both"/>
        <w:rPr>
          <w:rFonts w:ascii="Times New Roman" w:hAnsi="Times New Roman" w:cs="Times New Roman"/>
          <w:sz w:val="24"/>
        </w:rPr>
      </w:pPr>
      <w:r>
        <w:rPr>
          <w:rFonts w:cs="Times New Roman" w:ascii="Times New Roman" w:hAnsi="Times New Roman"/>
          <w:sz w:val="24"/>
        </w:rPr>
        <w:t>не менее 3,5 метра, высотой не менее 4,5 метра и располагаться не более чем через каждые 300 метров, а в реконструируемых территориях при застройке по периметру – не более чем через 180 метров.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В исторической застройке сельских поселений допускается сохранять существующие размеры сквозных проездов (арок).</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w:t>
      </w:r>
    </w:p>
    <w:p>
      <w:pPr>
        <w:pStyle w:val="Normal"/>
        <w:spacing w:lineRule="auto" w:line="280" w:before="0" w:after="0"/>
        <w:contextualSpacing/>
        <w:jc w:val="both"/>
        <w:rPr>
          <w:rFonts w:ascii="Times New Roman" w:hAnsi="Times New Roman" w:cs="Times New Roman"/>
          <w:sz w:val="24"/>
        </w:rPr>
      </w:pPr>
      <w:r>
        <w:rPr>
          <w:rFonts w:cs="Times New Roman" w:ascii="Times New Roman" w:hAnsi="Times New Roman"/>
          <w:sz w:val="24"/>
        </w:rPr>
        <w:t>расстояние не более 50 метров.</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0"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6.4.3 Противопожарные расстояния между зданиями, сооружениями и строениями</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Основные понятия:</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ФЗ, главе 16 статьи 69 «Противопожарные расстояния между зданиями, сооружениями и строениями»:</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t>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 288)) их конструктивной пожарной опасности следует принимать в соответствии с таблицей ниже.</w:t>
      </w:r>
    </w:p>
    <w:p>
      <w:pPr>
        <w:pStyle w:val="Normal"/>
        <w:spacing w:lineRule="auto" w:line="280" w:before="0" w:after="0"/>
        <w:ind w:firstLine="851"/>
        <w:contextualSpacing/>
        <w:jc w:val="both"/>
        <w:rPr>
          <w:rFonts w:ascii="Times New Roman" w:hAnsi="Times New Roman" w:cs="Times New Roman"/>
          <w:sz w:val="24"/>
        </w:rPr>
      </w:pPr>
      <w:r>
        <w:rPr>
          <w:rFonts w:cs="Times New Roman" w:ascii="Times New Roman" w:hAnsi="Times New Roman"/>
          <w:sz w:val="24"/>
        </w:rPr>
      </w:r>
    </w:p>
    <w:tbl>
      <w:tblPr>
        <w:tblW w:w="4950" w:type="pct"/>
        <w:jc w:val="center"/>
        <w:tblInd w:w="0" w:type="dxa"/>
        <w:shd w:fill="FBFBFB" w:val="clear"/>
        <w:tblCellMar>
          <w:top w:w="75" w:type="dxa"/>
          <w:left w:w="75" w:type="dxa"/>
          <w:bottom w:w="75" w:type="dxa"/>
          <w:right w:w="75" w:type="dxa"/>
        </w:tblCellMar>
        <w:tblLook w:firstRow="1" w:noVBand="1" w:lastRow="0" w:firstColumn="1" w:lastColumn="0" w:noHBand="0" w:val="04a0"/>
      </w:tblPr>
      <w:tblGrid>
        <w:gridCol w:w="2095"/>
        <w:gridCol w:w="2275"/>
        <w:gridCol w:w="1480"/>
        <w:gridCol w:w="1198"/>
        <w:gridCol w:w="1346"/>
        <w:gridCol w:w="1287"/>
      </w:tblGrid>
      <w:tr>
        <w:trPr>
          <w:trHeight w:val="730" w:hRule="exact"/>
        </w:trPr>
        <w:tc>
          <w:tcPr>
            <w:tcW w:w="2095" w:type="dxa"/>
            <w:vMerge w:val="restart"/>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Степень огнестойкости здания</w:t>
            </w:r>
          </w:p>
        </w:tc>
        <w:tc>
          <w:tcPr>
            <w:tcW w:w="2275" w:type="dxa"/>
            <w:vMerge w:val="restart"/>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Класс конструктивной пожарной опасности</w:t>
            </w:r>
          </w:p>
        </w:tc>
        <w:tc>
          <w:tcPr>
            <w:tcW w:w="5311" w:type="dxa"/>
            <w:gridSpan w:val="4"/>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Минимальные расстояния при степени огнестойкости и классе конструктивной пожарной опасности жилых и общественных зданий, м</w:t>
            </w:r>
          </w:p>
        </w:tc>
      </w:tr>
      <w:tr>
        <w:trPr>
          <w:trHeight w:val="852" w:hRule="exact"/>
        </w:trPr>
        <w:tc>
          <w:tcPr>
            <w:tcW w:w="2095" w:type="dxa"/>
            <w:vMerge w:val="continue"/>
            <w:tcBorders>
              <w:top w:val="single" w:sz="6" w:space="0" w:color="000000"/>
              <w:left w:val="single" w:sz="6" w:space="0" w:color="000000"/>
              <w:bottom w:val="single" w:sz="6" w:space="0" w:color="000000"/>
              <w:right w:val="single" w:sz="6" w:space="0" w:color="000000"/>
            </w:tcBorders>
            <w:shd w:color="auto" w:fill="FBFBFB" w:val="clear"/>
            <w:tcMar>
              <w:top w:w="15" w:type="dxa"/>
              <w:left w:w="15" w:type="dxa"/>
              <w:bottom w:w="15" w:type="dxa"/>
              <w:right w:w="15" w:type="dxa"/>
            </w:tcM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c>
          <w:tcPr>
            <w:tcW w:w="2275" w:type="dxa"/>
            <w:vMerge w:val="continue"/>
            <w:tcBorders>
              <w:top w:val="single" w:sz="6" w:space="0" w:color="000000"/>
              <w:left w:val="single" w:sz="6" w:space="0" w:color="000000"/>
              <w:bottom w:val="single" w:sz="6" w:space="0" w:color="000000"/>
              <w:right w:val="single" w:sz="6" w:space="0" w:color="000000"/>
            </w:tcBorders>
            <w:shd w:color="auto" w:fill="FBFBFB" w:val="clear"/>
            <w:tcMar>
              <w:top w:w="15" w:type="dxa"/>
              <w:left w:w="15" w:type="dxa"/>
              <w:bottom w:w="15" w:type="dxa"/>
              <w:right w:w="15" w:type="dxa"/>
            </w:tcM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 II, III</w:t>
            </w:r>
          </w:p>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C0</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II, III C1</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w:t>
            </w:r>
          </w:p>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С0, С1</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 V</w:t>
            </w:r>
          </w:p>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С2, С3</w:t>
            </w:r>
          </w:p>
        </w:tc>
      </w:tr>
      <w:tr>
        <w:trPr>
          <w:trHeight w:val="907"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Жилые и общественные</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both"/>
              <w:rPr>
                <w:rFonts w:ascii="Times New Roman" w:hAnsi="Times New Roman" w:cs="Times New Roman"/>
                <w:sz w:val="24"/>
                <w:szCs w:val="24"/>
              </w:rPr>
            </w:pPr>
            <w:r>
              <w:rPr>
                <w:rFonts w:cs="Times New Roman" w:ascii="Times New Roman" w:hAnsi="Times New Roman"/>
                <w:sz w:val="24"/>
                <w:szCs w:val="24"/>
              </w:rPr>
            </w:r>
          </w:p>
        </w:tc>
      </w:tr>
      <w:tr>
        <w:trPr>
          <w:trHeight w:val="345"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 II, III</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С0</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6</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8</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8</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r>
      <w:tr>
        <w:trPr>
          <w:trHeight w:val="344"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II, III</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С1</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8</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r>
      <w:tr>
        <w:trPr>
          <w:trHeight w:val="344"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С0, С1</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8</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r>
      <w:tr>
        <w:trPr>
          <w:trHeight w:val="350"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 V</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С2, С3</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15</w:t>
            </w:r>
          </w:p>
        </w:tc>
      </w:tr>
      <w:tr>
        <w:trPr>
          <w:trHeight w:val="930"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Производственные и складские</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r>
          </w:p>
        </w:tc>
      </w:tr>
      <w:tr>
        <w:trPr>
          <w:trHeight w:val="349"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 II, III</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С0</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10</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r>
      <w:tr>
        <w:trPr>
          <w:trHeight w:val="341"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II, III</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С1</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r>
      <w:tr>
        <w:trPr>
          <w:trHeight w:val="362"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С0, С1</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12</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15</w:t>
            </w:r>
          </w:p>
        </w:tc>
      </w:tr>
      <w:tr>
        <w:trPr>
          <w:trHeight w:val="386" w:hRule="exact"/>
        </w:trPr>
        <w:tc>
          <w:tcPr>
            <w:tcW w:w="209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IV, V</w:t>
            </w:r>
          </w:p>
        </w:tc>
        <w:tc>
          <w:tcPr>
            <w:tcW w:w="2275"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С2, С3</w:t>
            </w:r>
          </w:p>
        </w:tc>
        <w:tc>
          <w:tcPr>
            <w:tcW w:w="1480"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15</w:t>
            </w:r>
          </w:p>
        </w:tc>
        <w:tc>
          <w:tcPr>
            <w:tcW w:w="1198"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15</w:t>
            </w:r>
          </w:p>
        </w:tc>
        <w:tc>
          <w:tcPr>
            <w:tcW w:w="1346"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15</w:t>
            </w:r>
          </w:p>
        </w:tc>
        <w:tc>
          <w:tcPr>
            <w:tcW w:w="1287" w:type="dxa"/>
            <w:tcBorders>
              <w:top w:val="single" w:sz="6" w:space="0" w:color="000000"/>
              <w:left w:val="single" w:sz="6" w:space="0" w:color="000000"/>
              <w:bottom w:val="single" w:sz="6" w:space="0" w:color="000000"/>
              <w:right w:val="single" w:sz="6" w:space="0" w:color="000000"/>
            </w:tcBorders>
            <w:shd w:color="auto" w:fill="FBFBFB" w:val="clear"/>
            <w:vAlign w:val="center"/>
          </w:tcPr>
          <w:p>
            <w:pPr>
              <w:pStyle w:val="Normal"/>
              <w:spacing w:lineRule="auto" w:line="268" w:before="0" w:after="0"/>
              <w:contextualSpacing/>
              <w:jc w:val="center"/>
              <w:rPr>
                <w:rFonts w:ascii="Times New Roman" w:hAnsi="Times New Roman" w:cs="Times New Roman"/>
                <w:sz w:val="24"/>
                <w:szCs w:val="24"/>
              </w:rPr>
            </w:pPr>
            <w:r>
              <w:rPr>
                <w:rFonts w:cs="Times New Roman" w:ascii="Times New Roman" w:hAnsi="Times New Roman"/>
                <w:sz w:val="24"/>
                <w:szCs w:val="24"/>
              </w:rPr>
              <w:t>18</w:t>
            </w:r>
          </w:p>
        </w:tc>
      </w:tr>
    </w:tbl>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Противопожарные расстояния от одно-, двухквартирных жилых домов и 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С3–15 метров), III степени огнестойкости - 12 метров, IV и V степеней огнестойкости–15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СП 4.13130 Противопожарные расстояния от границ застройки сельских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людей, находящихся в здании, сооружении, строении, возможности пребывания их в состоянии сна подразделяются на:</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Ф1 – здания, предназначенные для постоянного проживания и временного пребывания людей;</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Ф2 – здания зрелищных и культурно-просветительных учреждений;</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Ф3 – здания организаций по обслуживанию населения;</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Ф4 – здания научных и образовательных учреждений, научных и проектных организаций, органов управления учреждений;</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t>Ф5 – здания производственного или складского назначения.</w:t>
      </w:r>
    </w:p>
    <w:p>
      <w:pPr>
        <w:pStyle w:val="Normal"/>
        <w:spacing w:lineRule="auto" w:line="302"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сельского поселения, садоводческих, огороднических и дачных некоммерческих объединений граждан, на предприятиях</w:t>
      </w:r>
    </w:p>
    <w:p>
      <w:pPr>
        <w:pStyle w:val="Normal"/>
        <w:spacing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Согласно пункту 17 Правил противопожарного режима в Российской Федерации (утв. постановлением Правительства РФ от 25 апреля 2012 г. № 390) на период устойчивой сухой,  жаркой и ветреной погоды, а также при введении особого противопожарного режима на территориях сельских поселений и городских округов, садоводческих, огороднических и дачных некоммерческих объединений граждан, на предприятиях осуществляются следующие мероприятия:</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а) 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б) организация патрулирования добровольными пожарными и (или) гражданами Российской Федерации;</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в) подготовка   для   возможного   использования   в   тушении    пожаров   имеющейся</w:t>
      </w:r>
    </w:p>
    <w:p>
      <w:pPr>
        <w:pStyle w:val="Normal"/>
        <w:spacing w:lineRule="auto" w:line="297" w:before="0" w:after="0"/>
        <w:contextualSpacing/>
        <w:jc w:val="both"/>
        <w:rPr>
          <w:rFonts w:ascii="Times New Roman" w:hAnsi="Times New Roman" w:cs="Times New Roman"/>
          <w:sz w:val="24"/>
        </w:rPr>
      </w:pPr>
      <w:r>
        <w:rPr>
          <w:rFonts w:cs="Times New Roman" w:ascii="Times New Roman" w:hAnsi="Times New Roman"/>
          <w:sz w:val="24"/>
        </w:rPr>
        <w:t>водовозной и землеройной техники;</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t>г) проведение соответствующей разъяснительной работы с гражданами о мерах</w:t>
      </w:r>
    </w:p>
    <w:p>
      <w:pPr>
        <w:pStyle w:val="Normal"/>
        <w:spacing w:lineRule="auto" w:line="297" w:before="0" w:after="0"/>
        <w:contextualSpacing/>
        <w:jc w:val="both"/>
        <w:rPr>
          <w:rFonts w:ascii="Times New Roman" w:hAnsi="Times New Roman" w:cs="Times New Roman"/>
          <w:sz w:val="24"/>
        </w:rPr>
      </w:pPr>
      <w:r>
        <w:rPr>
          <w:rFonts w:cs="Times New Roman" w:ascii="Times New Roman" w:hAnsi="Times New Roman"/>
          <w:sz w:val="24"/>
        </w:rPr>
        <w:t>пожарной безопасности и действиях при пожаре.</w:t>
      </w:r>
    </w:p>
    <w:p>
      <w:pPr>
        <w:pStyle w:val="Normal"/>
        <w:spacing w:lineRule="auto" w:line="297" w:before="0" w:after="0"/>
        <w:ind w:firstLine="851"/>
        <w:contextualSpacing/>
        <w:jc w:val="both"/>
        <w:rPr>
          <w:rFonts w:ascii="Times New Roman" w:hAnsi="Times New Roman" w:cs="Times New Roman"/>
          <w:sz w:val="24"/>
        </w:rPr>
      </w:pPr>
      <w:r>
        <w:rPr>
          <w:rFonts w:cs="Times New Roman" w:ascii="Times New Roman" w:hAnsi="Times New Roman"/>
          <w:sz w:val="24"/>
        </w:rPr>
      </w:r>
    </w:p>
    <w:p>
      <w:pPr>
        <w:pStyle w:val="Normal"/>
        <w:spacing w:lineRule="auto" w:line="297"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t>6.4.5 Рекомендации по противопожарным мероприятиям для объектов историко-культурного наследия</w:t>
      </w:r>
    </w:p>
    <w:p>
      <w:pPr>
        <w:pStyle w:val="Normal"/>
        <w:spacing w:lineRule="auto" w:line="297" w:before="0" w:after="0"/>
        <w:ind w:firstLine="851"/>
        <w:contextualSpacing/>
        <w:jc w:val="both"/>
        <w:rPr>
          <w:rFonts w:ascii="Times New Roman" w:hAnsi="Times New Roman" w:cs="Times New Roman"/>
          <w:b/>
          <w:b/>
          <w:color w:val="365F91" w:themeColor="accent1" w:themeShade="bf"/>
          <w:sz w:val="24"/>
        </w:rPr>
      </w:pPr>
      <w:r>
        <w:rPr>
          <w:rFonts w:cs="Times New Roman" w:ascii="Times New Roman" w:hAnsi="Times New Roman"/>
          <w:b/>
          <w:color w:val="365F91" w:themeColor="accent1" w:themeShade="bf"/>
          <w:sz w:val="24"/>
        </w:rPr>
      </w:r>
    </w:p>
    <w:p>
      <w:pPr>
        <w:pStyle w:val="Normal"/>
        <w:spacing w:lineRule="auto" w:line="297" w:before="0" w:after="0"/>
        <w:ind w:firstLine="851"/>
        <w:contextualSpacing/>
        <w:jc w:val="both"/>
        <w:rPr>
          <w:rFonts w:ascii="Times New Roman" w:hAnsi="Times New Roman" w:cs="Times New Roman"/>
          <w:sz w:val="24"/>
          <w:szCs w:val="24"/>
        </w:rPr>
      </w:pPr>
      <w:r>
        <w:rPr>
          <w:rFonts w:cs="Times New Roman" w:ascii="Times New Roman" w:hAnsi="Times New Roman"/>
          <w:sz w:val="24"/>
          <w:szCs w:val="24"/>
        </w:rPr>
        <w:t>В целях защиты жизни, здоровья, имущества граждан и юридических лиц, 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pPr>
        <w:pStyle w:val="S6"/>
        <w:spacing w:lineRule="auto" w:line="297" w:before="0" w:after="0"/>
        <w:ind w:firstLine="851"/>
        <w:contextualSpacing/>
        <w:rPr/>
      </w:pPr>
      <w:r>
        <w:rPr/>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pPr>
        <w:pStyle w:val="S6"/>
        <w:spacing w:lineRule="auto" w:line="297" w:before="0" w:after="0"/>
        <w:ind w:firstLine="851"/>
        <w:contextualSpacing/>
        <w:rPr>
          <w:sz w:val="28"/>
        </w:rPr>
      </w:pPr>
      <w:r>
        <w:rPr>
          <w:sz w:val="28"/>
        </w:rPr>
      </w:r>
    </w:p>
    <w:p>
      <w:pPr>
        <w:pStyle w:val="Normal"/>
        <w:widowControl w:val="false"/>
        <w:spacing w:lineRule="auto" w:line="297" w:before="0" w:after="0"/>
        <w:ind w:firstLine="851"/>
        <w:contextualSpacing/>
        <w:jc w:val="both"/>
        <w:rPr>
          <w:rFonts w:ascii="Times New Roman" w:hAnsi="Times New Roman" w:cs="Times New Roman"/>
          <w:b/>
          <w:b/>
          <w:color w:val="365F91" w:themeColor="accent1" w:themeShade="bf"/>
          <w:sz w:val="24"/>
          <w:szCs w:val="24"/>
          <w:lang w:eastAsia="ar-SA"/>
        </w:rPr>
      </w:pPr>
      <w:r>
        <w:rPr>
          <w:rFonts w:cs="Times New Roman" w:ascii="Times New Roman" w:hAnsi="Times New Roman"/>
          <w:b/>
          <w:color w:val="365F91" w:themeColor="accent1" w:themeShade="bf"/>
          <w:sz w:val="24"/>
          <w:szCs w:val="24"/>
          <w:lang w:eastAsia="ar-SA"/>
        </w:rPr>
        <w:t>7. Перечень земельных участков, которые включаются в границы населенных пунктов, входящих в состав сельского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pPr>
        <w:pStyle w:val="Normal"/>
        <w:widowControl w:val="false"/>
        <w:spacing w:lineRule="auto" w:line="297"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r>
    </w:p>
    <w:p>
      <w:pPr>
        <w:pStyle w:val="Normal"/>
        <w:widowControl w:val="false"/>
        <w:spacing w:lineRule="auto" w:line="297" w:before="0" w:after="0"/>
        <w:ind w:firstLine="851"/>
        <w:contextualSpacing/>
        <w:jc w:val="both"/>
        <w:rPr>
          <w:rFonts w:ascii="Times New Roman" w:hAnsi="Times New Roman" w:cs="Times New Roman"/>
          <w:color w:val="000000"/>
          <w:sz w:val="24"/>
          <w:szCs w:val="24"/>
          <w:lang w:eastAsia="ar-SA"/>
        </w:rPr>
      </w:pPr>
      <w:r>
        <w:rPr>
          <w:rFonts w:cs="Times New Roman" w:ascii="Times New Roman" w:hAnsi="Times New Roman"/>
          <w:color w:val="000000"/>
          <w:sz w:val="24"/>
          <w:szCs w:val="24"/>
          <w:lang w:eastAsia="ar-SA"/>
        </w:rPr>
        <w:t>Графически планируемые границы населенного пункта</w:t>
      </w:r>
      <w:r>
        <w:rPr>
          <w:rFonts w:cs="Times New Roman" w:ascii="Times New Roman" w:hAnsi="Times New Roman"/>
          <w:sz w:val="24"/>
          <w:szCs w:val="24"/>
        </w:rPr>
        <w:t xml:space="preserve">, входящая в состав                        </w:t>
      </w:r>
      <w:r>
        <w:rPr>
          <w:rFonts w:eastAsia="Calibri" w:cs="Times New Roman" w:ascii="Times New Roman" w:hAnsi="Times New Roman"/>
          <w:color w:val="000000"/>
          <w:sz w:val="24"/>
          <w:szCs w:val="24"/>
          <w:lang w:eastAsia="en-US"/>
        </w:rPr>
        <w:t>Татарско-Тавлинского сельского поселения</w:t>
      </w:r>
      <w:r>
        <w:rPr>
          <w:rFonts w:cs="Times New Roman" w:ascii="Times New Roman" w:hAnsi="Times New Roman"/>
          <w:color w:val="000000"/>
          <w:sz w:val="24"/>
          <w:szCs w:val="24"/>
          <w:lang w:eastAsia="ar-SA"/>
        </w:rPr>
        <w:t xml:space="preserve"> Лямбирского муниципального района показаны на карте границ населенных пунктов. Карты разработаны в программной среде ГИС «MapInfo» в составе электронных графических слоёв и связанной с ними атрибутивной базы данных.</w:t>
      </w:r>
    </w:p>
    <w:p>
      <w:pPr>
        <w:pStyle w:val="BodyText3"/>
        <w:spacing w:lineRule="auto" w:line="297" w:before="0" w:after="0"/>
        <w:ind w:firstLine="851"/>
        <w:contextualSpacing/>
        <w:jc w:val="both"/>
        <w:rPr>
          <w:rFonts w:ascii="Times New Roman" w:hAnsi="Times New Roman"/>
          <w:sz w:val="24"/>
          <w:szCs w:val="24"/>
        </w:rPr>
      </w:pPr>
      <w:r>
        <w:rPr>
          <w:rFonts w:ascii="Times New Roman" w:hAnsi="Times New Roman"/>
          <w:sz w:val="24"/>
          <w:szCs w:val="24"/>
        </w:rPr>
        <w:t xml:space="preserve">В состав сельского поселения входит один населенный пункт: с. Татарская Тавла. </w:t>
      </w:r>
    </w:p>
    <w:p>
      <w:pPr>
        <w:pStyle w:val="Normal"/>
        <w:widowControl w:val="false"/>
        <w:spacing w:lineRule="auto" w:line="297" w:before="0" w:after="0"/>
        <w:ind w:firstLine="851"/>
        <w:contextualSpacing/>
        <w:jc w:val="both"/>
        <w:rPr>
          <w:rFonts w:ascii="Times New Roman" w:hAnsi="Times New Roman" w:cs="Times New Roman"/>
          <w:sz w:val="24"/>
          <w:szCs w:val="24"/>
          <w:highlight w:val="white"/>
        </w:rPr>
      </w:pPr>
      <w:r>
        <w:rPr>
          <w:rFonts w:cs="Times New Roman" w:ascii="Times New Roman" w:hAnsi="Times New Roman"/>
          <w:color w:val="000000"/>
          <w:sz w:val="24"/>
          <w:szCs w:val="24"/>
          <w:lang w:eastAsia="ar-SA"/>
        </w:rPr>
        <w:t>Сведения о границах населенного пункта села Татарская Тавла в настоящее время отсутствует в ЕГРН.</w:t>
      </w:r>
    </w:p>
    <w:p>
      <w:pPr>
        <w:pStyle w:val="Normal"/>
        <w:widowControl w:val="false"/>
        <w:spacing w:lineRule="auto" w:line="297" w:before="0" w:after="0"/>
        <w:ind w:firstLine="851"/>
        <w:contextualSpacing/>
        <w:jc w:val="both"/>
        <w:rPr>
          <w:rFonts w:ascii="Times New Roman" w:hAnsi="Times New Roman" w:cs="Times New Roman"/>
          <w:sz w:val="24"/>
          <w:szCs w:val="24"/>
          <w:highlight w:val="white"/>
        </w:rPr>
      </w:pPr>
      <w:r>
        <w:rPr>
          <w:rFonts w:cs="Times New Roman" w:ascii="Times New Roman" w:hAnsi="Times New Roman"/>
          <w:sz w:val="24"/>
          <w:szCs w:val="24"/>
          <w:shd w:fill="F8F9FA" w:val="clear"/>
        </w:rPr>
        <w:t>Данным проектом планируется внести в ЕГРН сведения о границах населенного пункта с. Татарская Тавла.</w:t>
      </w:r>
    </w:p>
    <w:p>
      <w:pPr>
        <w:pStyle w:val="Normal"/>
        <w:widowControl w:val="false"/>
        <w:spacing w:before="0" w:after="0"/>
        <w:ind w:firstLine="851"/>
        <w:contextualSpacing/>
        <w:jc w:val="both"/>
        <w:rPr>
          <w:rFonts w:ascii="Times New Roman" w:hAnsi="Times New Roman" w:cs="Times New Roman"/>
          <w:sz w:val="24"/>
          <w:szCs w:val="24"/>
          <w:highlight w:val="white"/>
        </w:rPr>
      </w:pPr>
      <w:r>
        <w:rPr>
          <w:rFonts w:cs="Times New Roman" w:ascii="Times New Roman" w:hAnsi="Times New Roman"/>
          <w:sz w:val="24"/>
          <w:szCs w:val="24"/>
          <w:shd w:fill="F8F9FA" w:val="clear"/>
        </w:rPr>
      </w:r>
    </w:p>
    <w:p>
      <w:pPr>
        <w:pStyle w:val="Normal"/>
        <w:widowControl w:val="false"/>
        <w:spacing w:before="0" w:after="0"/>
        <w:ind w:firstLine="851"/>
        <w:contextualSpacing/>
        <w:jc w:val="both"/>
        <w:rPr>
          <w:rFonts w:ascii="Times New Roman" w:hAnsi="Times New Roman" w:cs="Times New Roman"/>
          <w:b/>
          <w:b/>
          <w:color w:val="365F91" w:themeColor="accent1" w:themeShade="bf"/>
          <w:sz w:val="24"/>
          <w:szCs w:val="24"/>
          <w:highlight w:val="white"/>
        </w:rPr>
      </w:pPr>
      <w:r>
        <w:rPr>
          <w:rFonts w:cs="Times New Roman" w:ascii="Times New Roman" w:hAnsi="Times New Roman"/>
          <w:b/>
          <w:color w:val="365F91" w:themeColor="accent1" w:themeShade="bf"/>
          <w:sz w:val="24"/>
          <w:szCs w:val="24"/>
          <w:shd w:fill="F8F9FA" w:val="clear"/>
        </w:rPr>
        <w:t>8. Сведения об утвержденных предметах охраны и границах территорий исторических сельских поселений федерального значения и исторических сельских поселений регионального значения</w:t>
      </w:r>
    </w:p>
    <w:p>
      <w:pPr>
        <w:pStyle w:val="Normal"/>
        <w:widowControl w:val="false"/>
        <w:spacing w:before="0" w:after="0"/>
        <w:ind w:firstLine="851"/>
        <w:contextualSpacing/>
        <w:jc w:val="both"/>
        <w:rPr>
          <w:rFonts w:ascii="Times New Roman" w:hAnsi="Times New Roman" w:cs="Times New Roman"/>
          <w:sz w:val="24"/>
          <w:szCs w:val="24"/>
          <w:highlight w:val="white"/>
        </w:rPr>
      </w:pPr>
      <w:r>
        <w:rPr>
          <w:rFonts w:cs="Times New Roman" w:ascii="Times New Roman" w:hAnsi="Times New Roman"/>
          <w:sz w:val="24"/>
          <w:szCs w:val="24"/>
          <w:shd w:fill="F8F9FA" w:val="clear"/>
        </w:rPr>
      </w:r>
    </w:p>
    <w:p>
      <w:pPr>
        <w:pStyle w:val="Normal"/>
        <w:spacing w:before="0" w:after="0"/>
        <w:ind w:firstLine="851"/>
        <w:contextualSpacing/>
        <w:rPr/>
      </w:pPr>
      <w:bookmarkStart w:id="30" w:name="_Toc420414294"/>
      <w:bookmarkStart w:id="31" w:name="_Toc416247188"/>
      <w:bookmarkStart w:id="32" w:name="dst1297"/>
      <w:bookmarkEnd w:id="32"/>
      <w:r>
        <w:rPr>
          <w:rFonts w:cs="Times New Roman" w:ascii="Times New Roman" w:hAnsi="Times New Roman"/>
          <w:sz w:val="24"/>
          <w:szCs w:val="28"/>
        </w:rPr>
        <w:t>Данные сведения о Татарском-Тавлинском сельском поселении отсутствуют.</w:t>
      </w:r>
      <w:bookmarkEnd w:id="30"/>
      <w:bookmarkEnd w:id="31"/>
    </w:p>
    <w:sectPr>
      <w:headerReference w:type="default" r:id="rId6"/>
      <w:footerReference w:type="default" r:id="rId7"/>
      <w:type w:val="nextPage"/>
      <w:pgSz w:w="11906" w:h="16838"/>
      <w:pgMar w:left="1276" w:right="850" w:header="708" w:top="1134" w:footer="0" w:bottom="1134"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Cambria">
    <w:charset w:val="cc"/>
    <w:family w:val="roman"/>
    <w:pitch w:val="variable"/>
  </w:font>
  <w:font w:name="Times New Roman">
    <w:charset w:val="cc"/>
    <w:family w:val="roman"/>
    <w:pitch w:val="variable"/>
  </w:font>
  <w:font w:name="Courier New">
    <w:charset w:val="cc"/>
    <w:family w:val="roman"/>
    <w:pitch w:val="variable"/>
  </w:font>
  <w:font w:name="Tahoma">
    <w:charset w:val="cc"/>
    <w:family w:val="roman"/>
    <w:pitch w:val="variable"/>
  </w:font>
  <w:font w:name="Arial">
    <w:charset w:val="cc"/>
    <w:family w:val="roman"/>
    <w:pitch w:val="variable"/>
  </w:font>
  <w:font w:name="Century Schoolbook">
    <w:charset w:val="cc"/>
    <w:family w:val="roman"/>
    <w:pitch w:val="variable"/>
  </w:font>
  <w:font w:name="Arial Unicode MS">
    <w:charset w:val="cc"/>
    <w:family w:val="roman"/>
    <w:pitch w:val="variable"/>
  </w:font>
  <w:font w:name="ISOCPEUR">
    <w:charset w:val="cc"/>
    <w:family w:val="roman"/>
    <w:pitch w:val="variable"/>
  </w:font>
  <w:font w:name="MS Reference Sans Serif">
    <w:charset w:val="cc"/>
    <w:family w:val="roman"/>
    <w:pitch w:val="variable"/>
  </w:font>
  <w:font w:name="Verdana">
    <w:charset w:val="cc"/>
    <w:family w:val="roman"/>
    <w:pitch w:val="variable"/>
  </w:font>
  <w:font w:name="Liberation Sans">
    <w:altName w:val="Arial"/>
    <w:charset w:val="cc"/>
    <w:family w:val="swiss"/>
    <w:pitch w:val="variable"/>
  </w:font>
  <w:font w:name="Times New Roman CYR">
    <w:charset w:val="cc"/>
    <w:family w:val="roman"/>
    <w:pitch w:val="variable"/>
  </w:font>
  <w:font w:name="ГОСТ тип А">
    <w:charset w:val="cc"/>
    <w:family w:val="roman"/>
    <w:pitch w:val="variable"/>
  </w:font>
  <w:font w:name="Garamond">
    <w:charset w:val="cc"/>
    <w:family w:val="roman"/>
    <w:pitch w:val="variable"/>
  </w:font>
  <w:font w:name="Arial Black">
    <w:charset w:val="cc"/>
    <w:family w:val="roman"/>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953345228"/>
    </w:sdtPr>
    <w:sdtContent>
      <w:p>
        <w:pPr>
          <w:pStyle w:val="Style40"/>
          <w:jc w:val="center"/>
          <w:rPr/>
        </w:pPr>
        <w:r>
          <w:rPr/>
          <w:drawing>
            <wp:inline distT="0" distB="0" distL="0" distR="0">
              <wp:extent cx="457200" cy="457200"/>
              <wp:effectExtent l="0" t="0" r="0" b="0"/>
              <wp:docPr id="3"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 descr=""/>
                      <pic:cNvPicPr>
                        <a:picLocks noChangeAspect="1" noChangeArrowheads="1"/>
                      </pic:cNvPicPr>
                    </pic:nvPicPr>
                    <pic:blipFill>
                      <a:blip r:embed="rId1"/>
                      <a:stretch>
                        <a:fillRect/>
                      </a:stretch>
                    </pic:blipFill>
                    <pic:spPr bwMode="auto">
                      <a:xfrm>
                        <a:off x="0" y="0"/>
                        <a:ext cx="457200" cy="457200"/>
                      </a:xfrm>
                      <a:prstGeom prst="rect">
                        <a:avLst/>
                      </a:prstGeom>
                    </pic:spPr>
                  </pic:pic>
                </a:graphicData>
              </a:graphic>
            </wp:inline>
          </w:drawing>
        </w:r>
        <w:r>
          <w:rPr/>
          <mc:AlternateContent>
            <mc:Choice Requires="wps">
              <w:drawing>
                <wp:inline distT="0" distB="0" distL="0" distR="0">
                  <wp:extent cx="5467985" cy="45720"/>
                  <wp:effectExtent l="9525" t="9525" r="0" b="2540"/>
                  <wp:docPr id="4" name=""/>
                  <a:graphic xmlns:a="http://schemas.openxmlformats.org/drawingml/2006/main">
                    <a:graphicData uri="http://schemas.microsoft.com/office/word/2010/wordprocessingShape">
                      <wps:wsp>
                        <wps:cNvSpPr/>
                        <wps:spPr>
                          <a:xfrm flipV="1">
                            <a:off x="0" y="0"/>
                            <a:ext cx="5467320" cy="45000"/>
                          </a:xfrm>
                          <a:prstGeom prst="flowChartDecision">
                            <a:avLst/>
                          </a:prstGeom>
                          <a:pattFill prst="ltHorz">
                            <a:fgClr>
                              <a:srgbClr val="000000"/>
                            </a:fgClr>
                            <a:bgClr>
                              <a:srgbClr val="ffffff"/>
                            </a:bgClr>
                          </a:pattFill>
                          <a:ln>
                            <a:noFill/>
                          </a:ln>
                        </wps:spPr>
                        <wps:style>
                          <a:lnRef idx="0"/>
                          <a:fillRef idx="0"/>
                          <a:effectRef idx="0"/>
                          <a:fontRef idx="minor"/>
                        </wps:style>
                        <wps:bodyPr/>
                      </wps:wsp>
                    </a:graphicData>
                  </a:graphic>
                </wp:inline>
              </w:drawing>
            </mc:Choice>
            <mc:Fallback>
              <w:pict>
                <v:shapetype id="shapetype_110" coordsize="21600,21600" o:spt="110" path="m,10800l10800,l21600,10800l10800,21600xe">
                  <v:stroke joinstyle="miter"/>
                  <v:formulas>
                    <v:f eqn="prod width 3 4"/>
                    <v:f eqn="prod height 3 4"/>
                  </v:formulas>
                  <v:path gradientshapeok="t" o:connecttype="rect" textboxrect="5400,5400,@0,@1"/>
                </v:shapetype>
                <v:shape id="shape_0" stroked="f" style="position:absolute;margin-left:0pt;margin-top:-3.6pt;width:430.45pt;height:3.5pt;flip:y;mso-position-vertical:top" type="shapetype_110">
                  <w10:wrap type="none"/>
                  <v:imagedata r:id=""/>
                  <v:stroke color="#3465a4" joinstyle="round" endcap="flat"/>
                </v:shape>
              </w:pict>
            </mc:Fallback>
          </mc:AlternateContent>
        </w:r>
      </w:p>
      <w:p>
        <w:pPr>
          <w:pStyle w:val="Style40"/>
          <w:jc w:val="both"/>
          <w:rPr/>
        </w:pPr>
        <w:r>
          <w:rPr>
            <w:rFonts w:cs="Times New Roman" w:ascii="Times New Roman" w:hAnsi="Times New Roman"/>
            <w:sz w:val="24"/>
          </w:rPr>
          <w:t xml:space="preserve">     </w:t>
        </w:r>
        <w:r>
          <w:rPr>
            <w:rFonts w:cs="Times New Roman" w:ascii="Times New Roman" w:hAnsi="Times New Roman"/>
            <w:sz w:val="24"/>
          </w:rPr>
          <w:t>АО «РЦПД «КАДАСТР»        202</w:t>
        </w:r>
        <w:r>
          <w:rPr>
            <w:rFonts w:cs="Times New Roman" w:ascii="Times New Roman" w:hAnsi="Times New Roman"/>
            <w:sz w:val="24"/>
            <w:lang w:val="en-US"/>
          </w:rPr>
          <w:t>4</w:t>
        </w:r>
        <w:r>
          <w:rPr>
            <w:rFonts w:cs="Times New Roman" w:ascii="Times New Roman" w:hAnsi="Times New Roman"/>
            <w:sz w:val="24"/>
          </w:rPr>
          <w:t xml:space="preserve"> г.             </w:t>
        </w:r>
        <w:r>
          <w:rPr>
            <w:rFonts w:cs="Times New Roman" w:ascii="Times New Roman" w:hAnsi="Times New Roman"/>
            <w:sz w:val="24"/>
          </w:rPr>
          <w:fldChar w:fldCharType="begin"/>
        </w:r>
        <w:r>
          <w:rPr>
            <w:sz w:val="24"/>
            <w:rFonts w:cs="Times New Roman" w:ascii="Times New Roman" w:hAnsi="Times New Roman"/>
          </w:rPr>
          <w:instrText> PAGE </w:instrText>
        </w:r>
        <w:r>
          <w:rPr>
            <w:sz w:val="24"/>
            <w:rFonts w:cs="Times New Roman" w:ascii="Times New Roman" w:hAnsi="Times New Roman"/>
          </w:rPr>
          <w:fldChar w:fldCharType="separate"/>
        </w:r>
        <w:r>
          <w:rPr>
            <w:sz w:val="24"/>
            <w:rFonts w:cs="Times New Roman" w:ascii="Times New Roman" w:hAnsi="Times New Roman"/>
          </w:rPr>
          <w:t>54</w:t>
        </w:r>
        <w:r>
          <w:rPr>
            <w:sz w:val="24"/>
            <w:rFonts w:cs="Times New Roman" w:ascii="Times New Roman" w:hAnsi="Times New Roman"/>
          </w:rPr>
          <w:fldChar w:fldCharType="end"/>
        </w:r>
      </w:p>
    </w:sdtContent>
  </w:sdt>
  <w:p>
    <w:pPr>
      <w:pStyle w:val="Normal"/>
      <w:spacing w:before="0" w:after="200"/>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yle39"/>
      <w:jc w:val="center"/>
      <w:rPr>
        <w:u w:val="single"/>
      </w:rPr>
    </w:pPr>
    <w:r>
      <w:rPr>
        <w:rFonts w:eastAsia="" w:cs="Times New Roman" w:ascii="Times New Roman" w:hAnsi="Times New Roman" w:eastAsiaTheme="majorEastAsia"/>
        <w:sz w:val="24"/>
        <w:szCs w:val="24"/>
        <w:u w:val="single"/>
      </w:rPr>
      <w:t xml:space="preserve">Генеральный план Татарско-Тавлинского сельского поселения </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2">
    <w:lvl w:ilvl="0">
      <w:start w:val="1"/>
      <w:numFmt w:val="decimal"/>
      <w:lvlText w:val="%1."/>
      <w:lvlJc w:val="left"/>
      <w:pPr>
        <w:ind w:left="928" w:hanging="360"/>
      </w:pPr>
    </w:lvl>
    <w:lvl w:ilvl="1">
      <w:start w:val="1"/>
      <w:numFmt w:val="decimal"/>
      <w:lvlText w:val="%1.%2."/>
      <w:lvlJc w:val="left"/>
      <w:pPr>
        <w:ind w:left="1440" w:hanging="720"/>
      </w:pPr>
    </w:lvl>
    <w:lvl w:ilvl="2">
      <w:start w:val="1"/>
      <w:numFmt w:val="decimal"/>
      <w:lvlText w:val="%1.%2.%3."/>
      <w:lvlJc w:val="left"/>
      <w:pPr>
        <w:ind w:left="1440" w:hanging="720"/>
      </w:pPr>
    </w:lvl>
    <w:lvl w:ilvl="3">
      <w:start w:val="1"/>
      <w:numFmt w:val="decimal"/>
      <w:lvlText w:val="%1.%2.%3.%4."/>
      <w:lvlJc w:val="left"/>
      <w:pPr>
        <w:ind w:left="1800" w:hanging="1080"/>
      </w:pPr>
    </w:lvl>
    <w:lvl w:ilvl="4">
      <w:start w:val="1"/>
      <w:numFmt w:val="decimal"/>
      <w:lvlText w:val="%1.%2.%3.%4.%5."/>
      <w:lvlJc w:val="left"/>
      <w:pPr>
        <w:ind w:left="1800" w:hanging="1080"/>
      </w:pPr>
    </w:lvl>
    <w:lvl w:ilvl="5">
      <w:start w:val="1"/>
      <w:numFmt w:val="decimal"/>
      <w:lvlText w:val="%1.%2.%3.%4.%5.%6."/>
      <w:lvlJc w:val="left"/>
      <w:pPr>
        <w:ind w:left="2160" w:hanging="1440"/>
      </w:pPr>
    </w:lvl>
    <w:lvl w:ilvl="6">
      <w:start w:val="1"/>
      <w:numFmt w:val="decimal"/>
      <w:lvlText w:val="%1.%2.%3.%4.%5.%6.%7."/>
      <w:lvlJc w:val="left"/>
      <w:pPr>
        <w:ind w:left="2520" w:hanging="1800"/>
      </w:pPr>
    </w:lvl>
    <w:lvl w:ilvl="7">
      <w:start w:val="1"/>
      <w:numFmt w:val="decimal"/>
      <w:lvlText w:val="%1.%2.%3.%4.%5.%6.%7.%8."/>
      <w:lvlJc w:val="left"/>
      <w:pPr>
        <w:ind w:left="2520" w:hanging="1800"/>
      </w:pPr>
    </w:lvl>
    <w:lvl w:ilvl="8">
      <w:start w:val="1"/>
      <w:numFmt w:val="decimal"/>
      <w:lvlText w:val="%1.%2.%3.%4.%5.%6.%7.%8.%9."/>
      <w:lvlJc w:val="left"/>
      <w:pPr>
        <w:ind w:left="2880" w:hanging="2160"/>
      </w:pPr>
    </w:lvl>
  </w:abstractNum>
  <w:abstractNum w:abstractNumId="3">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4">
    <w:lvl w:ilvl="0">
      <w:start w:val="1"/>
      <w:numFmt w:val="bullet"/>
      <w:lvlText w:val=""/>
      <w:lvlJc w:val="left"/>
      <w:pPr>
        <w:ind w:left="1713" w:hanging="360"/>
      </w:pPr>
      <w:rPr>
        <w:rFonts w:ascii="Symbol" w:hAnsi="Symbol" w:cs="Symbol" w:hint="default"/>
      </w:rPr>
    </w:lvl>
    <w:lvl w:ilvl="1">
      <w:start w:val="1"/>
      <w:numFmt w:val="bullet"/>
      <w:lvlText w:val="o"/>
      <w:lvlJc w:val="left"/>
      <w:pPr>
        <w:ind w:left="2433" w:hanging="360"/>
      </w:pPr>
      <w:rPr>
        <w:rFonts w:ascii="Courier New" w:hAnsi="Courier New" w:cs="Courier New" w:hint="default"/>
        <w:rFonts w:cs="Courier New"/>
      </w:rPr>
    </w:lvl>
    <w:lvl w:ilvl="2">
      <w:start w:val="1"/>
      <w:numFmt w:val="bullet"/>
      <w:lvlText w:val=""/>
      <w:lvlJc w:val="left"/>
      <w:pPr>
        <w:ind w:left="3153" w:hanging="360"/>
      </w:pPr>
      <w:rPr>
        <w:rFonts w:ascii="Wingdings" w:hAnsi="Wingdings" w:cs="Wingdings" w:hint="default"/>
      </w:rPr>
    </w:lvl>
    <w:lvl w:ilvl="3">
      <w:start w:val="1"/>
      <w:numFmt w:val="bullet"/>
      <w:lvlText w:val=""/>
      <w:lvlJc w:val="left"/>
      <w:pPr>
        <w:ind w:left="3873" w:hanging="360"/>
      </w:pPr>
      <w:rPr>
        <w:rFonts w:ascii="Symbol" w:hAnsi="Symbol" w:cs="Symbol" w:hint="default"/>
      </w:rPr>
    </w:lvl>
    <w:lvl w:ilvl="4">
      <w:start w:val="1"/>
      <w:numFmt w:val="bullet"/>
      <w:lvlText w:val="o"/>
      <w:lvlJc w:val="left"/>
      <w:pPr>
        <w:ind w:left="4593" w:hanging="360"/>
      </w:pPr>
      <w:rPr>
        <w:rFonts w:ascii="Courier New" w:hAnsi="Courier New" w:cs="Courier New" w:hint="default"/>
        <w:rFonts w:cs="Courier New"/>
      </w:rPr>
    </w:lvl>
    <w:lvl w:ilvl="5">
      <w:start w:val="1"/>
      <w:numFmt w:val="bullet"/>
      <w:lvlText w:val=""/>
      <w:lvlJc w:val="left"/>
      <w:pPr>
        <w:ind w:left="5313" w:hanging="360"/>
      </w:pPr>
      <w:rPr>
        <w:rFonts w:ascii="Wingdings" w:hAnsi="Wingdings" w:cs="Wingdings" w:hint="default"/>
      </w:rPr>
    </w:lvl>
    <w:lvl w:ilvl="6">
      <w:start w:val="1"/>
      <w:numFmt w:val="bullet"/>
      <w:lvlText w:val=""/>
      <w:lvlJc w:val="left"/>
      <w:pPr>
        <w:ind w:left="6033" w:hanging="360"/>
      </w:pPr>
      <w:rPr>
        <w:rFonts w:ascii="Symbol" w:hAnsi="Symbol" w:cs="Symbol" w:hint="default"/>
      </w:rPr>
    </w:lvl>
    <w:lvl w:ilvl="7">
      <w:start w:val="1"/>
      <w:numFmt w:val="bullet"/>
      <w:lvlText w:val="o"/>
      <w:lvlJc w:val="left"/>
      <w:pPr>
        <w:ind w:left="6753" w:hanging="360"/>
      </w:pPr>
      <w:rPr>
        <w:rFonts w:ascii="Courier New" w:hAnsi="Courier New" w:cs="Courier New" w:hint="default"/>
        <w:rFonts w:cs="Courier New"/>
      </w:rPr>
    </w:lvl>
    <w:lvl w:ilvl="8">
      <w:start w:val="1"/>
      <w:numFmt w:val="bullet"/>
      <w:lvlText w:val=""/>
      <w:lvlJc w:val="left"/>
      <w:pPr>
        <w:ind w:left="7473" w:hanging="360"/>
      </w:pPr>
      <w:rPr>
        <w:rFonts w:ascii="Wingdings" w:hAnsi="Wingdings" w:cs="Wingdings" w:hint="default"/>
      </w:rPr>
    </w:lvl>
  </w:abstractNum>
  <w:abstractNum w:abstractNumId="5">
    <w:lvl w:ilvl="0">
      <w:start w:val="1"/>
      <w:numFmt w:val="bullet"/>
      <w:lvlText w:val=""/>
      <w:lvlJc w:val="left"/>
      <w:pPr>
        <w:ind w:left="1713" w:hanging="360"/>
      </w:pPr>
      <w:rPr>
        <w:rFonts w:ascii="Symbol" w:hAnsi="Symbol" w:cs="Symbol" w:hint="default"/>
      </w:rPr>
    </w:lvl>
    <w:lvl w:ilvl="1">
      <w:start w:val="1"/>
      <w:numFmt w:val="bullet"/>
      <w:lvlText w:val="o"/>
      <w:lvlJc w:val="left"/>
      <w:pPr>
        <w:ind w:left="2433" w:hanging="360"/>
      </w:pPr>
      <w:rPr>
        <w:rFonts w:ascii="Courier New" w:hAnsi="Courier New" w:cs="Courier New" w:hint="default"/>
        <w:rFonts w:cs="Courier New"/>
      </w:rPr>
    </w:lvl>
    <w:lvl w:ilvl="2">
      <w:start w:val="1"/>
      <w:numFmt w:val="bullet"/>
      <w:lvlText w:val=""/>
      <w:lvlJc w:val="left"/>
      <w:pPr>
        <w:ind w:left="3153" w:hanging="360"/>
      </w:pPr>
      <w:rPr>
        <w:rFonts w:ascii="Wingdings" w:hAnsi="Wingdings" w:cs="Wingdings" w:hint="default"/>
      </w:rPr>
    </w:lvl>
    <w:lvl w:ilvl="3">
      <w:start w:val="1"/>
      <w:numFmt w:val="bullet"/>
      <w:lvlText w:val=""/>
      <w:lvlJc w:val="left"/>
      <w:pPr>
        <w:ind w:left="3873" w:hanging="360"/>
      </w:pPr>
      <w:rPr>
        <w:rFonts w:ascii="Symbol" w:hAnsi="Symbol" w:cs="Symbol" w:hint="default"/>
      </w:rPr>
    </w:lvl>
    <w:lvl w:ilvl="4">
      <w:start w:val="1"/>
      <w:numFmt w:val="bullet"/>
      <w:lvlText w:val="o"/>
      <w:lvlJc w:val="left"/>
      <w:pPr>
        <w:ind w:left="4593" w:hanging="360"/>
      </w:pPr>
      <w:rPr>
        <w:rFonts w:ascii="Courier New" w:hAnsi="Courier New" w:cs="Courier New" w:hint="default"/>
        <w:rFonts w:cs="Courier New"/>
      </w:rPr>
    </w:lvl>
    <w:lvl w:ilvl="5">
      <w:start w:val="1"/>
      <w:numFmt w:val="bullet"/>
      <w:lvlText w:val=""/>
      <w:lvlJc w:val="left"/>
      <w:pPr>
        <w:ind w:left="5313" w:hanging="360"/>
      </w:pPr>
      <w:rPr>
        <w:rFonts w:ascii="Wingdings" w:hAnsi="Wingdings" w:cs="Wingdings" w:hint="default"/>
      </w:rPr>
    </w:lvl>
    <w:lvl w:ilvl="6">
      <w:start w:val="1"/>
      <w:numFmt w:val="bullet"/>
      <w:lvlText w:val=""/>
      <w:lvlJc w:val="left"/>
      <w:pPr>
        <w:ind w:left="6033" w:hanging="360"/>
      </w:pPr>
      <w:rPr>
        <w:rFonts w:ascii="Symbol" w:hAnsi="Symbol" w:cs="Symbol" w:hint="default"/>
      </w:rPr>
    </w:lvl>
    <w:lvl w:ilvl="7">
      <w:start w:val="1"/>
      <w:numFmt w:val="bullet"/>
      <w:lvlText w:val="o"/>
      <w:lvlJc w:val="left"/>
      <w:pPr>
        <w:ind w:left="6753" w:hanging="360"/>
      </w:pPr>
      <w:rPr>
        <w:rFonts w:ascii="Courier New" w:hAnsi="Courier New" w:cs="Courier New" w:hint="default"/>
        <w:rFonts w:cs="Courier New"/>
      </w:rPr>
    </w:lvl>
    <w:lvl w:ilvl="8">
      <w:start w:val="1"/>
      <w:numFmt w:val="bullet"/>
      <w:lvlText w:val=""/>
      <w:lvlJc w:val="left"/>
      <w:pPr>
        <w:ind w:left="7473" w:hanging="360"/>
      </w:pPr>
      <w:rPr>
        <w:rFonts w:ascii="Wingdings" w:hAnsi="Wingdings" w:cs="Wingdings" w:hint="default"/>
      </w:rPr>
    </w:lvl>
  </w:abstractNum>
  <w:abstractNum w:abstractNumId="6">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7">
    <w:lvl w:ilvl="0">
      <w:start w:val="1"/>
      <w:numFmt w:val="bullet"/>
      <w:lvlText w:val=""/>
      <w:lvlJc w:val="left"/>
      <w:pPr>
        <w:ind w:left="1429" w:hanging="360"/>
      </w:pPr>
      <w:rPr>
        <w:rFonts w:ascii="Symbol" w:hAnsi="Symbol" w:cs="Symbol" w:hint="default"/>
      </w:rPr>
    </w:lvl>
    <w:lvl w:ilvl="1">
      <w:start w:val="1"/>
      <w:numFmt w:val="bullet"/>
      <w:lvlText w:val="o"/>
      <w:lvlJc w:val="left"/>
      <w:pPr>
        <w:ind w:left="2149" w:hanging="360"/>
      </w:pPr>
      <w:rPr>
        <w:rFonts w:ascii="Courier New" w:hAnsi="Courier New" w:cs="Courier New" w:hint="default"/>
        <w:rFonts w:cs="Courier New"/>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Fonts w:cs="Courier New"/>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Fonts w:cs="Courier New"/>
      </w:rPr>
    </w:lvl>
    <w:lvl w:ilvl="8">
      <w:start w:val="1"/>
      <w:numFmt w:val="bullet"/>
      <w:lvlText w:val=""/>
      <w:lvlJc w:val="left"/>
      <w:pPr>
        <w:ind w:left="7189" w:hanging="360"/>
      </w:pPr>
      <w:rPr>
        <w:rFonts w:ascii="Wingdings" w:hAnsi="Wingdings" w:cs="Wingdings" w:hint="default"/>
      </w:rPr>
    </w:lvl>
  </w:abstractNum>
  <w:abstractNum w:abstractNumId="8">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9">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10">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11">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12">
    <w:lvl w:ilvl="0">
      <w:start w:val="1"/>
      <w:numFmt w:val="bullet"/>
      <w:lvlText w:val=""/>
      <w:lvlJc w:val="left"/>
      <w:pPr>
        <w:ind w:left="432" w:hanging="432"/>
      </w:pPr>
      <w:rPr>
        <w:rFonts w:ascii="Symbol" w:hAnsi="Symbol" w:cs="Symbol" w:hint="default"/>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13">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14">
    <w:lvl w:ilvl="0">
      <w:start w:val="1"/>
      <w:numFmt w:val="bullet"/>
      <w:lvlText w:val=""/>
      <w:lvlJc w:val="left"/>
      <w:pPr>
        <w:ind w:left="432" w:hanging="432"/>
      </w:pPr>
      <w:rPr>
        <w:rFonts w:ascii="Symbol" w:hAnsi="Symbol" w:cs="Symbol" w:hint="default"/>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15">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16">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7">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18">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abstractNum w:abstractNumId="19">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abstractNum w:abstractNumId="20">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abstractNum w:abstractNumId="21">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abstractNum w:abstractNumId="22">
    <w:lvl w:ilvl="0">
      <w:start w:val="1"/>
      <w:numFmt w:val="bullet"/>
      <w:lvlText w:val=""/>
      <w:lvlJc w:val="left"/>
      <w:pPr>
        <w:ind w:left="2138" w:hanging="360"/>
      </w:pPr>
      <w:rPr>
        <w:rFonts w:ascii="Symbol" w:hAnsi="Symbol" w:cs="Symbol" w:hint="default"/>
      </w:rPr>
    </w:lvl>
    <w:lvl w:ilvl="1">
      <w:start w:val="1"/>
      <w:numFmt w:val="bullet"/>
      <w:lvlText w:val="o"/>
      <w:lvlJc w:val="left"/>
      <w:pPr>
        <w:ind w:left="2858" w:hanging="360"/>
      </w:pPr>
      <w:rPr>
        <w:rFonts w:ascii="Courier New" w:hAnsi="Courier New" w:cs="Courier New" w:hint="default"/>
        <w:rFonts w:cs="Courier New"/>
      </w:rPr>
    </w:lvl>
    <w:lvl w:ilvl="2">
      <w:start w:val="1"/>
      <w:numFmt w:val="bullet"/>
      <w:lvlText w:val=""/>
      <w:lvlJc w:val="left"/>
      <w:pPr>
        <w:ind w:left="3578" w:hanging="360"/>
      </w:pPr>
      <w:rPr>
        <w:rFonts w:ascii="Wingdings" w:hAnsi="Wingdings" w:cs="Wingdings" w:hint="default"/>
      </w:rPr>
    </w:lvl>
    <w:lvl w:ilvl="3">
      <w:start w:val="1"/>
      <w:numFmt w:val="bullet"/>
      <w:lvlText w:val=""/>
      <w:lvlJc w:val="left"/>
      <w:pPr>
        <w:ind w:left="4298" w:hanging="360"/>
      </w:pPr>
      <w:rPr>
        <w:rFonts w:ascii="Symbol" w:hAnsi="Symbol" w:cs="Symbol" w:hint="default"/>
      </w:rPr>
    </w:lvl>
    <w:lvl w:ilvl="4">
      <w:start w:val="1"/>
      <w:numFmt w:val="bullet"/>
      <w:lvlText w:val="o"/>
      <w:lvlJc w:val="left"/>
      <w:pPr>
        <w:ind w:left="5018" w:hanging="360"/>
      </w:pPr>
      <w:rPr>
        <w:rFonts w:ascii="Courier New" w:hAnsi="Courier New" w:cs="Courier New" w:hint="default"/>
        <w:rFonts w:cs="Courier New"/>
      </w:rPr>
    </w:lvl>
    <w:lvl w:ilvl="5">
      <w:start w:val="1"/>
      <w:numFmt w:val="bullet"/>
      <w:lvlText w:val=""/>
      <w:lvlJc w:val="left"/>
      <w:pPr>
        <w:ind w:left="5738" w:hanging="360"/>
      </w:pPr>
      <w:rPr>
        <w:rFonts w:ascii="Wingdings" w:hAnsi="Wingdings" w:cs="Wingdings" w:hint="default"/>
      </w:rPr>
    </w:lvl>
    <w:lvl w:ilvl="6">
      <w:start w:val="1"/>
      <w:numFmt w:val="bullet"/>
      <w:lvlText w:val=""/>
      <w:lvlJc w:val="left"/>
      <w:pPr>
        <w:ind w:left="6458" w:hanging="360"/>
      </w:pPr>
      <w:rPr>
        <w:rFonts w:ascii="Symbol" w:hAnsi="Symbol" w:cs="Symbol" w:hint="default"/>
      </w:rPr>
    </w:lvl>
    <w:lvl w:ilvl="7">
      <w:start w:val="1"/>
      <w:numFmt w:val="bullet"/>
      <w:lvlText w:val="o"/>
      <w:lvlJc w:val="left"/>
      <w:pPr>
        <w:ind w:left="7178" w:hanging="360"/>
      </w:pPr>
      <w:rPr>
        <w:rFonts w:ascii="Courier New" w:hAnsi="Courier New" w:cs="Courier New" w:hint="default"/>
        <w:rFonts w:cs="Courier New"/>
      </w:rPr>
    </w:lvl>
    <w:lvl w:ilvl="8">
      <w:start w:val="1"/>
      <w:numFmt w:val="bullet"/>
      <w:lvlText w:val=""/>
      <w:lvlJc w:val="left"/>
      <w:pPr>
        <w:ind w:left="7898" w:hanging="360"/>
      </w:pPr>
      <w:rPr>
        <w:rFonts w:ascii="Wingdings" w:hAnsi="Wingdings" w:cs="Wingdings" w:hint="default"/>
      </w:rPr>
    </w:lvl>
  </w:abstractNum>
  <w:abstractNum w:abstractNumId="23">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24">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25">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26">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27">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28">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0">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1">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2">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3">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4">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5">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6">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7">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8">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39">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0">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1">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2">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3">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4">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5">
    <w:lvl w:ilvl="0">
      <w:start w:val="1"/>
      <w:numFmt w:val="bullet"/>
      <w:lvlText w:val=""/>
      <w:lvlJc w:val="left"/>
      <w:pPr>
        <w:ind w:left="2160" w:hanging="360"/>
      </w:pPr>
      <w:rPr>
        <w:rFonts w:ascii="Symbol" w:hAnsi="Symbol" w:cs="Symbol" w:hint="default"/>
      </w:rPr>
    </w:lvl>
    <w:lvl w:ilvl="1">
      <w:start w:val="1"/>
      <w:numFmt w:val="bullet"/>
      <w:lvlText w:val="o"/>
      <w:lvlJc w:val="left"/>
      <w:pPr>
        <w:ind w:left="2880" w:hanging="360"/>
      </w:pPr>
      <w:rPr>
        <w:rFonts w:ascii="Courier New" w:hAnsi="Courier New" w:cs="Courier New" w:hint="default"/>
        <w:rFonts w:cs="Courier New"/>
      </w:rPr>
    </w:lvl>
    <w:lvl w:ilvl="2">
      <w:start w:val="1"/>
      <w:numFmt w:val="bullet"/>
      <w:lvlText w:val=""/>
      <w:lvlJc w:val="left"/>
      <w:pPr>
        <w:ind w:left="3600" w:hanging="360"/>
      </w:pPr>
      <w:rPr>
        <w:rFonts w:ascii="Wingdings" w:hAnsi="Wingdings" w:cs="Wingdings" w:hint="default"/>
      </w:rPr>
    </w:lvl>
    <w:lvl w:ilvl="3">
      <w:start w:val="1"/>
      <w:numFmt w:val="bullet"/>
      <w:lvlText w:val=""/>
      <w:lvlJc w:val="left"/>
      <w:pPr>
        <w:ind w:left="4320" w:hanging="360"/>
      </w:pPr>
      <w:rPr>
        <w:rFonts w:ascii="Symbol" w:hAnsi="Symbol" w:cs="Symbol" w:hint="default"/>
      </w:rPr>
    </w:lvl>
    <w:lvl w:ilvl="4">
      <w:start w:val="1"/>
      <w:numFmt w:val="bullet"/>
      <w:lvlText w:val="o"/>
      <w:lvlJc w:val="left"/>
      <w:pPr>
        <w:ind w:left="5040" w:hanging="360"/>
      </w:pPr>
      <w:rPr>
        <w:rFonts w:ascii="Courier New" w:hAnsi="Courier New" w:cs="Courier New" w:hint="default"/>
        <w:rFonts w:cs="Courier New"/>
      </w:rPr>
    </w:lvl>
    <w:lvl w:ilvl="5">
      <w:start w:val="1"/>
      <w:numFmt w:val="bullet"/>
      <w:lvlText w:val=""/>
      <w:lvlJc w:val="left"/>
      <w:pPr>
        <w:ind w:left="5760" w:hanging="360"/>
      </w:pPr>
      <w:rPr>
        <w:rFonts w:ascii="Wingdings" w:hAnsi="Wingdings" w:cs="Wingdings" w:hint="default"/>
      </w:rPr>
    </w:lvl>
    <w:lvl w:ilvl="6">
      <w:start w:val="1"/>
      <w:numFmt w:val="bullet"/>
      <w:lvlText w:val=""/>
      <w:lvlJc w:val="left"/>
      <w:pPr>
        <w:ind w:left="6480" w:hanging="360"/>
      </w:pPr>
      <w:rPr>
        <w:rFonts w:ascii="Symbol" w:hAnsi="Symbol" w:cs="Symbol" w:hint="default"/>
      </w:rPr>
    </w:lvl>
    <w:lvl w:ilvl="7">
      <w:start w:val="1"/>
      <w:numFmt w:val="bullet"/>
      <w:lvlText w:val="o"/>
      <w:lvlJc w:val="left"/>
      <w:pPr>
        <w:ind w:left="7200" w:hanging="360"/>
      </w:pPr>
      <w:rPr>
        <w:rFonts w:ascii="Courier New" w:hAnsi="Courier New" w:cs="Courier New" w:hint="default"/>
        <w:rFonts w:cs="Courier New"/>
      </w:rPr>
    </w:lvl>
    <w:lvl w:ilvl="8">
      <w:start w:val="1"/>
      <w:numFmt w:val="bullet"/>
      <w:lvlText w:val=""/>
      <w:lvlJc w:val="left"/>
      <w:pPr>
        <w:ind w:left="7920" w:hanging="360"/>
      </w:pPr>
      <w:rPr>
        <w:rFonts w:ascii="Wingdings" w:hAnsi="Wingdings" w:cs="Wingdings" w:hint="default"/>
      </w:rPr>
    </w:lvl>
  </w:abstractNum>
  <w:abstractNum w:abstractNumId="4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47">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8">
    <w:lvl w:ilvl="0">
      <w:start w:val="1"/>
      <w:numFmt w:val="bullet"/>
      <w:lvlText w:val=""/>
      <w:lvlJc w:val="left"/>
      <w:pPr>
        <w:ind w:left="1571" w:hanging="360"/>
      </w:pPr>
      <w:rPr>
        <w:rFonts w:ascii="Symbol" w:hAnsi="Symbol" w:cs="Symbol" w:hint="default"/>
      </w:rPr>
    </w:lvl>
    <w:lvl w:ilvl="1">
      <w:start w:val="1"/>
      <w:numFmt w:val="bullet"/>
      <w:lvlText w:val="o"/>
      <w:lvlJc w:val="left"/>
      <w:pPr>
        <w:ind w:left="2291" w:hanging="360"/>
      </w:pPr>
      <w:rPr>
        <w:rFonts w:ascii="Courier New" w:hAnsi="Courier New" w:cs="Courier New" w:hint="default"/>
        <w:rFonts w:cs="Courier New"/>
      </w:rPr>
    </w:lvl>
    <w:lvl w:ilvl="2">
      <w:start w:val="1"/>
      <w:numFmt w:val="bullet"/>
      <w:lvlText w:val=""/>
      <w:lvlJc w:val="left"/>
      <w:pPr>
        <w:ind w:left="3011" w:hanging="360"/>
      </w:pPr>
      <w:rPr>
        <w:rFonts w:ascii="Wingdings" w:hAnsi="Wingdings" w:cs="Wingdings" w:hint="default"/>
      </w:rPr>
    </w:lvl>
    <w:lvl w:ilvl="3">
      <w:start w:val="1"/>
      <w:numFmt w:val="bullet"/>
      <w:lvlText w:val=""/>
      <w:lvlJc w:val="left"/>
      <w:pPr>
        <w:ind w:left="3731" w:hanging="360"/>
      </w:pPr>
      <w:rPr>
        <w:rFonts w:ascii="Symbol" w:hAnsi="Symbol" w:cs="Symbol" w:hint="default"/>
      </w:rPr>
    </w:lvl>
    <w:lvl w:ilvl="4">
      <w:start w:val="1"/>
      <w:numFmt w:val="bullet"/>
      <w:lvlText w:val="o"/>
      <w:lvlJc w:val="left"/>
      <w:pPr>
        <w:ind w:left="4451" w:hanging="360"/>
      </w:pPr>
      <w:rPr>
        <w:rFonts w:ascii="Courier New" w:hAnsi="Courier New" w:cs="Courier New" w:hint="default"/>
        <w:rFonts w:cs="Courier New"/>
      </w:rPr>
    </w:lvl>
    <w:lvl w:ilvl="5">
      <w:start w:val="1"/>
      <w:numFmt w:val="bullet"/>
      <w:lvlText w:val=""/>
      <w:lvlJc w:val="left"/>
      <w:pPr>
        <w:ind w:left="5171" w:hanging="360"/>
      </w:pPr>
      <w:rPr>
        <w:rFonts w:ascii="Wingdings" w:hAnsi="Wingdings" w:cs="Wingdings" w:hint="default"/>
      </w:rPr>
    </w:lvl>
    <w:lvl w:ilvl="6">
      <w:start w:val="1"/>
      <w:numFmt w:val="bullet"/>
      <w:lvlText w:val=""/>
      <w:lvlJc w:val="left"/>
      <w:pPr>
        <w:ind w:left="5891" w:hanging="360"/>
      </w:pPr>
      <w:rPr>
        <w:rFonts w:ascii="Symbol" w:hAnsi="Symbol" w:cs="Symbol" w:hint="default"/>
      </w:rPr>
    </w:lvl>
    <w:lvl w:ilvl="7">
      <w:start w:val="1"/>
      <w:numFmt w:val="bullet"/>
      <w:lvlText w:val="o"/>
      <w:lvlJc w:val="left"/>
      <w:pPr>
        <w:ind w:left="6611" w:hanging="360"/>
      </w:pPr>
      <w:rPr>
        <w:rFonts w:ascii="Courier New" w:hAnsi="Courier New" w:cs="Courier New" w:hint="default"/>
        <w:rFonts w:cs="Courier New"/>
      </w:rPr>
    </w:lvl>
    <w:lvl w:ilvl="8">
      <w:start w:val="1"/>
      <w:numFmt w:val="bullet"/>
      <w:lvlText w:val=""/>
      <w:lvlJc w:val="left"/>
      <w:pPr>
        <w:ind w:left="7331" w:hanging="360"/>
      </w:pPr>
      <w:rPr>
        <w:rFonts w:ascii="Wingdings" w:hAnsi="Wingdings" w:cs="Wingdings" w:hint="default"/>
      </w:rPr>
    </w:lvl>
  </w:abstractNum>
  <w:abstractNum w:abstractNumId="49">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bering>
</file>

<file path=word/settings.xml><?xml version="1.0" encoding="utf-8"?>
<w:settings xmlns:w="http://schemas.openxmlformats.org/wordprocessingml/2006/main">
  <w:zoom w:percent="100"/>
  <w:defaultTabStop w:val="709"/>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 w:val="22"/>
        <w:szCs w:val="22"/>
        <w:lang w:val="ru-RU" w:eastAsia="ru-RU"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9"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1"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uiPriority="37" w:semiHidden="1" w:unhideWhenUsed="1"/>
    <w:lsdException w:name="TOC Heading" w:uiPriority="0"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e7033"/>
    <w:pPr>
      <w:widowControl/>
      <w:bidi w:val="0"/>
      <w:spacing w:lineRule="auto" w:line="276" w:before="0" w:after="200"/>
      <w:jc w:val="left"/>
    </w:pPr>
    <w:rPr>
      <w:rFonts w:ascii="Calibri" w:hAnsi="Calibri" w:eastAsia="" w:cs="" w:asciiTheme="minorHAnsi" w:cstheme="minorBidi" w:eastAsiaTheme="minorEastAsia" w:hAnsiTheme="minorHAnsi"/>
      <w:color w:val="auto"/>
      <w:kern w:val="0"/>
      <w:sz w:val="22"/>
      <w:szCs w:val="22"/>
      <w:lang w:val="ru-RU" w:eastAsia="ru-RU" w:bidi="ar-SA"/>
    </w:rPr>
  </w:style>
  <w:style w:type="paragraph" w:styleId="1">
    <w:name w:val="Heading 1"/>
    <w:basedOn w:val="Normal"/>
    <w:next w:val="Normal"/>
    <w:link w:val="11"/>
    <w:uiPriority w:val="9"/>
    <w:qFormat/>
    <w:rsid w:val="00e16f3f"/>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paragraph" w:styleId="2">
    <w:name w:val="Heading 2"/>
    <w:basedOn w:val="Normal"/>
    <w:next w:val="Normal"/>
    <w:link w:val="22"/>
    <w:uiPriority w:val="9"/>
    <w:unhideWhenUsed/>
    <w:qFormat/>
    <w:rsid w:val="00e16f3f"/>
    <w:pPr>
      <w:keepNext w:val="true"/>
      <w:keepLines/>
      <w:spacing w:before="200" w:after="0"/>
      <w:outlineLvl w:val="1"/>
    </w:pPr>
    <w:rPr>
      <w:rFonts w:ascii="Cambria" w:hAnsi="Cambria" w:eastAsia="" w:cs="" w:asciiTheme="majorHAnsi" w:cstheme="majorBidi" w:eastAsiaTheme="majorEastAsia" w:hAnsiTheme="majorHAnsi"/>
      <w:b/>
      <w:bCs/>
      <w:color w:val="4F81BD" w:themeColor="accent1"/>
      <w:sz w:val="26"/>
      <w:szCs w:val="26"/>
    </w:rPr>
  </w:style>
  <w:style w:type="paragraph" w:styleId="3">
    <w:name w:val="Heading 3"/>
    <w:basedOn w:val="Normal"/>
    <w:next w:val="Normal"/>
    <w:link w:val="30"/>
    <w:unhideWhenUsed/>
    <w:qFormat/>
    <w:rsid w:val="00635817"/>
    <w:pPr>
      <w:keepNext w:val="true"/>
      <w:keepLines/>
      <w:spacing w:before="200" w:after="0"/>
      <w:outlineLvl w:val="2"/>
    </w:pPr>
    <w:rPr>
      <w:rFonts w:ascii="Cambria" w:hAnsi="Cambria" w:eastAsia="" w:cs="" w:asciiTheme="majorHAnsi" w:cstheme="majorBidi" w:eastAsiaTheme="majorEastAsia" w:hAnsiTheme="majorHAnsi"/>
      <w:b/>
      <w:bCs/>
      <w:color w:val="4F81BD" w:themeColor="accent1"/>
    </w:rPr>
  </w:style>
  <w:style w:type="paragraph" w:styleId="4">
    <w:name w:val="Heading 4"/>
    <w:basedOn w:val="Normal"/>
    <w:next w:val="Normal"/>
    <w:link w:val="40"/>
    <w:unhideWhenUsed/>
    <w:qFormat/>
    <w:rsid w:val="0084559f"/>
    <w:pPr>
      <w:keepNext w:val="true"/>
      <w:spacing w:before="240" w:after="60"/>
      <w:outlineLvl w:val="3"/>
    </w:pPr>
    <w:rPr>
      <w:rFonts w:ascii="Calibri" w:hAnsi="Calibri" w:eastAsia="Times New Roman" w:cs="Times New Roman"/>
      <w:b/>
      <w:bCs/>
      <w:sz w:val="28"/>
      <w:szCs w:val="28"/>
      <w:lang w:eastAsia="en-US"/>
    </w:rPr>
  </w:style>
  <w:style w:type="paragraph" w:styleId="5">
    <w:name w:val="Heading 5"/>
    <w:basedOn w:val="Normal"/>
    <w:next w:val="Normal"/>
    <w:link w:val="50"/>
    <w:unhideWhenUsed/>
    <w:qFormat/>
    <w:rsid w:val="0084559f"/>
    <w:pPr>
      <w:spacing w:before="240" w:after="60"/>
      <w:outlineLvl w:val="4"/>
    </w:pPr>
    <w:rPr>
      <w:rFonts w:ascii="Calibri" w:hAnsi="Calibri" w:eastAsia="Times New Roman" w:cs="Times New Roman"/>
      <w:b/>
      <w:bCs/>
      <w:i/>
      <w:iCs/>
      <w:sz w:val="26"/>
      <w:szCs w:val="26"/>
      <w:lang w:eastAsia="en-US"/>
    </w:rPr>
  </w:style>
  <w:style w:type="paragraph" w:styleId="6">
    <w:name w:val="Heading 6"/>
    <w:basedOn w:val="Normal"/>
    <w:next w:val="Normal"/>
    <w:link w:val="60"/>
    <w:qFormat/>
    <w:rsid w:val="00e44471"/>
    <w:pPr>
      <w:spacing w:lineRule="auto" w:line="360" w:before="240" w:after="60"/>
      <w:ind w:firstLine="567"/>
      <w:outlineLvl w:val="5"/>
    </w:pPr>
    <w:rPr>
      <w:rFonts w:ascii="Times New Roman" w:hAnsi="Times New Roman" w:eastAsia="Times New Roman" w:cs="Times New Roman"/>
      <w:b/>
      <w:bCs/>
    </w:rPr>
  </w:style>
  <w:style w:type="paragraph" w:styleId="7">
    <w:name w:val="Heading 7"/>
    <w:basedOn w:val="Normal"/>
    <w:next w:val="Normal"/>
    <w:link w:val="70"/>
    <w:qFormat/>
    <w:rsid w:val="00e44471"/>
    <w:pPr>
      <w:spacing w:lineRule="auto" w:line="360" w:before="240" w:after="60"/>
      <w:ind w:firstLine="567"/>
      <w:outlineLvl w:val="6"/>
    </w:pPr>
    <w:rPr>
      <w:rFonts w:ascii="Times New Roman" w:hAnsi="Times New Roman" w:eastAsia="Times New Roman" w:cs="Times New Roman"/>
      <w:sz w:val="24"/>
      <w:szCs w:val="24"/>
    </w:rPr>
  </w:style>
  <w:style w:type="paragraph" w:styleId="9">
    <w:name w:val="Heading 9"/>
    <w:basedOn w:val="Normal"/>
    <w:next w:val="Normal"/>
    <w:link w:val="90"/>
    <w:unhideWhenUsed/>
    <w:qFormat/>
    <w:rsid w:val="00e44471"/>
    <w:pPr>
      <w:spacing w:lineRule="auto" w:line="360" w:before="240" w:after="60"/>
      <w:ind w:firstLine="567"/>
      <w:outlineLvl w:val="8"/>
    </w:pPr>
    <w:rPr>
      <w:rFonts w:ascii="Cambria" w:hAnsi="Cambria" w:eastAsia="Times New Roman" w:cs="Times New Roman"/>
    </w:rPr>
  </w:style>
  <w:style w:type="character" w:styleId="DefaultParagraphFont" w:default="1">
    <w:name w:val="Default Paragraph Font"/>
    <w:uiPriority w:val="1"/>
    <w:semiHidden/>
    <w:unhideWhenUsed/>
    <w:qFormat/>
    <w:rPr/>
  </w:style>
  <w:style w:type="character" w:styleId="11" w:customStyle="1">
    <w:name w:val="Заголовок 1 Знак"/>
    <w:basedOn w:val="DefaultParagraphFont"/>
    <w:link w:val="10"/>
    <w:uiPriority w:val="9"/>
    <w:qFormat/>
    <w:rsid w:val="00e16f3f"/>
    <w:rPr>
      <w:rFonts w:ascii="Cambria" w:hAnsi="Cambria" w:eastAsia="" w:cs="" w:asciiTheme="majorHAnsi" w:cstheme="majorBidi" w:eastAsiaTheme="majorEastAsia" w:hAnsiTheme="majorHAnsi"/>
      <w:b/>
      <w:bCs/>
      <w:color w:val="365F91" w:themeColor="accent1" w:themeShade="bf"/>
      <w:sz w:val="28"/>
      <w:szCs w:val="28"/>
      <w:lang w:eastAsia="ru-RU"/>
    </w:rPr>
  </w:style>
  <w:style w:type="character" w:styleId="21" w:customStyle="1">
    <w:name w:val="Заголовок 2 Знак"/>
    <w:basedOn w:val="DefaultParagraphFont"/>
    <w:link w:val="21"/>
    <w:qFormat/>
    <w:rsid w:val="00e16f3f"/>
    <w:rPr>
      <w:rFonts w:ascii="Cambria" w:hAnsi="Cambria" w:eastAsia="" w:cs="" w:asciiTheme="majorHAnsi" w:cstheme="majorBidi" w:eastAsiaTheme="majorEastAsia" w:hAnsiTheme="majorHAnsi"/>
      <w:b/>
      <w:bCs/>
      <w:color w:val="4F81BD" w:themeColor="accent1"/>
      <w:sz w:val="26"/>
      <w:szCs w:val="26"/>
      <w:lang w:eastAsia="ru-RU"/>
    </w:rPr>
  </w:style>
  <w:style w:type="character" w:styleId="31" w:customStyle="1">
    <w:name w:val="Заголовок 3 Знак"/>
    <w:basedOn w:val="DefaultParagraphFont"/>
    <w:link w:val="3"/>
    <w:qFormat/>
    <w:rsid w:val="00635817"/>
    <w:rPr>
      <w:rFonts w:ascii="Cambria" w:hAnsi="Cambria" w:eastAsia="" w:cs="" w:asciiTheme="majorHAnsi" w:cstheme="majorBidi" w:eastAsiaTheme="majorEastAsia" w:hAnsiTheme="majorHAnsi"/>
      <w:b/>
      <w:bCs/>
      <w:color w:val="4F81BD" w:themeColor="accent1"/>
      <w:lang w:eastAsia="ru-RU"/>
    </w:rPr>
  </w:style>
  <w:style w:type="character" w:styleId="41" w:customStyle="1">
    <w:name w:val="Заголовок 4 Знак"/>
    <w:basedOn w:val="DefaultParagraphFont"/>
    <w:link w:val="4"/>
    <w:qFormat/>
    <w:rsid w:val="0084559f"/>
    <w:rPr>
      <w:rFonts w:ascii="Calibri" w:hAnsi="Calibri" w:eastAsia="Times New Roman" w:cs="Times New Roman"/>
      <w:b/>
      <w:bCs/>
      <w:sz w:val="28"/>
      <w:szCs w:val="28"/>
    </w:rPr>
  </w:style>
  <w:style w:type="character" w:styleId="51" w:customStyle="1">
    <w:name w:val="Заголовок 5 Знак"/>
    <w:basedOn w:val="DefaultParagraphFont"/>
    <w:link w:val="5"/>
    <w:qFormat/>
    <w:rsid w:val="0084559f"/>
    <w:rPr>
      <w:rFonts w:ascii="Calibri" w:hAnsi="Calibri" w:eastAsia="Times New Roman" w:cs="Times New Roman"/>
      <w:b/>
      <w:bCs/>
      <w:i/>
      <w:iCs/>
      <w:sz w:val="26"/>
      <w:szCs w:val="26"/>
    </w:rPr>
  </w:style>
  <w:style w:type="character" w:styleId="Style6" w:customStyle="1">
    <w:name w:val="Верхний колонтитул Знак"/>
    <w:basedOn w:val="DefaultParagraphFont"/>
    <w:link w:val="a4"/>
    <w:qFormat/>
    <w:rsid w:val="00e15fac"/>
    <w:rPr/>
  </w:style>
  <w:style w:type="character" w:styleId="Style7" w:customStyle="1">
    <w:name w:val="Нижний колонтитул Знак"/>
    <w:basedOn w:val="DefaultParagraphFont"/>
    <w:link w:val="a6"/>
    <w:uiPriority w:val="99"/>
    <w:qFormat/>
    <w:rsid w:val="00e15fac"/>
    <w:rPr/>
  </w:style>
  <w:style w:type="character" w:styleId="Style8" w:customStyle="1">
    <w:name w:val="Текст Знак"/>
    <w:basedOn w:val="DefaultParagraphFont"/>
    <w:link w:val="a8"/>
    <w:uiPriority w:val="99"/>
    <w:qFormat/>
    <w:rsid w:val="00e15fac"/>
    <w:rPr>
      <w:rFonts w:ascii="Courier New" w:hAnsi="Courier New" w:eastAsia="Times New Roman" w:cs="Courier New"/>
      <w:sz w:val="20"/>
      <w:szCs w:val="20"/>
      <w:lang w:eastAsia="ru-RU"/>
    </w:rPr>
  </w:style>
  <w:style w:type="character" w:styleId="Style9">
    <w:name w:val="Интернет-ссылка"/>
    <w:basedOn w:val="DefaultParagraphFont"/>
    <w:uiPriority w:val="99"/>
    <w:unhideWhenUsed/>
    <w:rsid w:val="00e555ab"/>
    <w:rPr>
      <w:color w:val="0000FF"/>
      <w:u w:val="single"/>
    </w:rPr>
  </w:style>
  <w:style w:type="character" w:styleId="Style10" w:customStyle="1">
    <w:name w:val="Текст выноски Знак"/>
    <w:basedOn w:val="DefaultParagraphFont"/>
    <w:link w:val="ac"/>
    <w:uiPriority w:val="99"/>
    <w:qFormat/>
    <w:rsid w:val="00e16f3f"/>
    <w:rPr>
      <w:rFonts w:ascii="Tahoma" w:hAnsi="Tahoma" w:eastAsia="" w:cs="Tahoma" w:eastAsiaTheme="minorEastAsia"/>
      <w:sz w:val="16"/>
      <w:szCs w:val="16"/>
      <w:lang w:eastAsia="ru-RU"/>
    </w:rPr>
  </w:style>
  <w:style w:type="character" w:styleId="Style11" w:customStyle="1">
    <w:name w:val="Абзац списка Знак"/>
    <w:link w:val="ae"/>
    <w:qFormat/>
    <w:locked/>
    <w:rsid w:val="00fb5b44"/>
    <w:rPr>
      <w:rFonts w:ascii="Calibri" w:hAnsi="Calibri" w:eastAsia="Times New Roman" w:cs="Times New Roman"/>
      <w:lang w:eastAsia="ru-RU"/>
    </w:rPr>
  </w:style>
  <w:style w:type="character" w:styleId="ConsPlusNormal" w:customStyle="1">
    <w:name w:val="ConsPlusNormal Знак"/>
    <w:link w:val="ConsPlusNormal"/>
    <w:qFormat/>
    <w:locked/>
    <w:rsid w:val="00cc0d2f"/>
    <w:rPr>
      <w:rFonts w:ascii="Arial" w:hAnsi="Arial" w:eastAsia="Times New Roman" w:cs="Arial"/>
      <w:sz w:val="20"/>
      <w:szCs w:val="20"/>
      <w:lang w:eastAsia="ru-RU"/>
    </w:rPr>
  </w:style>
  <w:style w:type="character" w:styleId="Style12" w:customStyle="1">
    <w:name w:val="Основной текст Знак"/>
    <w:basedOn w:val="DefaultParagraphFont"/>
    <w:link w:val="af2"/>
    <w:qFormat/>
    <w:rsid w:val="00cc0d2f"/>
    <w:rPr>
      <w:rFonts w:ascii="Calibri" w:hAnsi="Calibri" w:eastAsia="Times New Roman" w:cs="Calibri"/>
    </w:rPr>
  </w:style>
  <w:style w:type="character" w:styleId="0ptExact" w:customStyle="1">
    <w:name w:val="Основной текст + Интервал 0 pt Exact"/>
    <w:basedOn w:val="DefaultParagraphFont"/>
    <w:uiPriority w:val="99"/>
    <w:qFormat/>
    <w:rsid w:val="00cc0d2f"/>
    <w:rPr>
      <w:rFonts w:ascii="Arial" w:hAnsi="Arial" w:cs="Arial"/>
      <w:sz w:val="17"/>
      <w:szCs w:val="17"/>
      <w:u w:val="none"/>
    </w:rPr>
  </w:style>
  <w:style w:type="character" w:styleId="22" w:customStyle="1">
    <w:name w:val="Основной текст с отступом 2 Знак"/>
    <w:basedOn w:val="DefaultParagraphFont"/>
    <w:link w:val="24"/>
    <w:uiPriority w:val="99"/>
    <w:qFormat/>
    <w:rsid w:val="00fa2b35"/>
    <w:rPr>
      <w:rFonts w:eastAsia="" w:eastAsiaTheme="minorEastAsia"/>
      <w:lang w:eastAsia="ru-RU"/>
    </w:rPr>
  </w:style>
  <w:style w:type="character" w:styleId="S4" w:customStyle="1">
    <w:name w:val="s4"/>
    <w:basedOn w:val="DefaultParagraphFont"/>
    <w:qFormat/>
    <w:rsid w:val="009746f2"/>
    <w:rPr/>
  </w:style>
  <w:style w:type="character" w:styleId="S1" w:customStyle="1">
    <w:name w:val="s1"/>
    <w:basedOn w:val="DefaultParagraphFont"/>
    <w:qFormat/>
    <w:rsid w:val="009746f2"/>
    <w:rPr/>
  </w:style>
  <w:style w:type="character" w:styleId="Blk" w:customStyle="1">
    <w:name w:val="blk"/>
    <w:basedOn w:val="DefaultParagraphFont"/>
    <w:qFormat/>
    <w:rsid w:val="00ae5a95"/>
    <w:rPr/>
  </w:style>
  <w:style w:type="character" w:styleId="SubtleReference">
    <w:name w:val="Subtle Reference"/>
    <w:uiPriority w:val="31"/>
    <w:qFormat/>
    <w:rsid w:val="0073642c"/>
    <w:rPr>
      <w:smallCaps/>
      <w:color w:val="C0504D"/>
      <w:u w:val="single"/>
    </w:rPr>
  </w:style>
  <w:style w:type="character" w:styleId="FontStyle20" w:customStyle="1">
    <w:name w:val="Font Style20"/>
    <w:qFormat/>
    <w:rsid w:val="00ed1fea"/>
    <w:rPr>
      <w:rFonts w:ascii="Century Schoolbook" w:hAnsi="Century Schoolbook" w:cs="Century Schoolbook"/>
      <w:sz w:val="20"/>
      <w:szCs w:val="20"/>
    </w:rPr>
  </w:style>
  <w:style w:type="character" w:styleId="23" w:customStyle="1">
    <w:name w:val="Основной текст 2 Знак"/>
    <w:basedOn w:val="DefaultParagraphFont"/>
    <w:link w:val="26"/>
    <w:qFormat/>
    <w:rsid w:val="00ed1fea"/>
    <w:rPr>
      <w:rFonts w:ascii="Calibri" w:hAnsi="Calibri" w:eastAsia="Times New Roman" w:cs="Calibri"/>
    </w:rPr>
  </w:style>
  <w:style w:type="character" w:styleId="Style13" w:customStyle="1">
    <w:name w:val="Схема документа Знак"/>
    <w:basedOn w:val="DefaultParagraphFont"/>
    <w:link w:val="af7"/>
    <w:qFormat/>
    <w:rsid w:val="0084559f"/>
    <w:rPr>
      <w:rFonts w:ascii="Tahoma" w:hAnsi="Tahoma" w:eastAsia="Times New Roman" w:cs="Tahoma"/>
      <w:sz w:val="16"/>
      <w:szCs w:val="16"/>
      <w:lang w:eastAsia="ru-RU"/>
    </w:rPr>
  </w:style>
  <w:style w:type="character" w:styleId="FontStyle27" w:customStyle="1">
    <w:name w:val="Font Style27"/>
    <w:basedOn w:val="DefaultParagraphFont"/>
    <w:qFormat/>
    <w:rsid w:val="0084559f"/>
    <w:rPr>
      <w:rFonts w:ascii="Times New Roman" w:hAnsi="Times New Roman" w:cs="Times New Roman"/>
      <w:sz w:val="24"/>
      <w:szCs w:val="24"/>
    </w:rPr>
  </w:style>
  <w:style w:type="character" w:styleId="FontStyle29" w:customStyle="1">
    <w:name w:val="Font Style29"/>
    <w:basedOn w:val="DefaultParagraphFont"/>
    <w:qFormat/>
    <w:rsid w:val="0084559f"/>
    <w:rPr>
      <w:rFonts w:ascii="Times New Roman" w:hAnsi="Times New Roman" w:cs="Times New Roman"/>
      <w:sz w:val="22"/>
      <w:szCs w:val="22"/>
    </w:rPr>
  </w:style>
  <w:style w:type="character" w:styleId="FontStyle40" w:customStyle="1">
    <w:name w:val="Font Style40"/>
    <w:basedOn w:val="DefaultParagraphFont"/>
    <w:qFormat/>
    <w:rsid w:val="0084559f"/>
    <w:rPr>
      <w:rFonts w:ascii="Times New Roman" w:hAnsi="Times New Roman" w:cs="Times New Roman"/>
      <w:b/>
      <w:bCs/>
      <w:sz w:val="24"/>
      <w:szCs w:val="24"/>
    </w:rPr>
  </w:style>
  <w:style w:type="character" w:styleId="FontStyle11" w:customStyle="1">
    <w:name w:val="Font Style11"/>
    <w:basedOn w:val="DefaultParagraphFont"/>
    <w:uiPriority w:val="99"/>
    <w:qFormat/>
    <w:rsid w:val="0084559f"/>
    <w:rPr>
      <w:rFonts w:ascii="Times New Roman" w:hAnsi="Times New Roman" w:cs="Times New Roman"/>
      <w:b/>
      <w:bCs/>
      <w:sz w:val="22"/>
      <w:szCs w:val="22"/>
    </w:rPr>
  </w:style>
  <w:style w:type="character" w:styleId="FontStyle12" w:customStyle="1">
    <w:name w:val="Font Style12"/>
    <w:basedOn w:val="DefaultParagraphFont"/>
    <w:uiPriority w:val="99"/>
    <w:qFormat/>
    <w:rsid w:val="0084559f"/>
    <w:rPr>
      <w:rFonts w:ascii="Times New Roman" w:hAnsi="Times New Roman" w:cs="Times New Roman"/>
      <w:b/>
      <w:bCs/>
      <w:sz w:val="20"/>
      <w:szCs w:val="20"/>
    </w:rPr>
  </w:style>
  <w:style w:type="character" w:styleId="Strong">
    <w:name w:val="Strong"/>
    <w:basedOn w:val="DefaultParagraphFont"/>
    <w:uiPriority w:val="22"/>
    <w:qFormat/>
    <w:rsid w:val="0084559f"/>
    <w:rPr>
      <w:b/>
      <w:bCs/>
    </w:rPr>
  </w:style>
  <w:style w:type="character" w:styleId="S" w:customStyle="1">
    <w:name w:val="S_Обычный Знак"/>
    <w:link w:val="S0"/>
    <w:qFormat/>
    <w:rsid w:val="0084559f"/>
    <w:rPr>
      <w:rFonts w:ascii="Times New Roman" w:hAnsi="Times New Roman" w:eastAsia="Times New Roman" w:cs="Times New Roman"/>
      <w:sz w:val="24"/>
      <w:szCs w:val="24"/>
    </w:rPr>
  </w:style>
  <w:style w:type="character" w:styleId="Style14" w:customStyle="1">
    <w:name w:val="Название объекта Знак"/>
    <w:link w:val="afb"/>
    <w:qFormat/>
    <w:rsid w:val="0084559f"/>
    <w:rPr>
      <w:rFonts w:ascii="Calibri" w:hAnsi="Calibri" w:eastAsia="Times New Roman" w:cs="Times New Roman"/>
      <w:b/>
      <w:bCs/>
      <w:color w:val="4F81BD"/>
      <w:sz w:val="18"/>
      <w:szCs w:val="18"/>
    </w:rPr>
  </w:style>
  <w:style w:type="character" w:styleId="HTML" w:customStyle="1">
    <w:name w:val="Стандартный HTML Знак"/>
    <w:basedOn w:val="DefaultParagraphFont"/>
    <w:link w:val="HTML"/>
    <w:qFormat/>
    <w:rsid w:val="0084559f"/>
    <w:rPr>
      <w:rFonts w:ascii="Courier New" w:hAnsi="Courier New" w:eastAsia="Times New Roman" w:cs="Times New Roman"/>
      <w:sz w:val="20"/>
      <w:szCs w:val="20"/>
      <w:lang w:eastAsia="ru-RU"/>
    </w:rPr>
  </w:style>
  <w:style w:type="character" w:styleId="Style15" w:customStyle="1">
    <w:name w:val="Название Знак"/>
    <w:basedOn w:val="DefaultParagraphFont"/>
    <w:link w:val="aff"/>
    <w:uiPriority w:val="10"/>
    <w:qFormat/>
    <w:rsid w:val="0084559f"/>
    <w:rPr>
      <w:rFonts w:ascii="Cambria" w:hAnsi="Cambria" w:eastAsia="Times New Roman" w:cs="Times New Roman"/>
      <w:color w:val="17365D"/>
      <w:spacing w:val="5"/>
      <w:kern w:val="2"/>
      <w:sz w:val="52"/>
      <w:szCs w:val="52"/>
    </w:rPr>
  </w:style>
  <w:style w:type="character" w:styleId="IntenseReference">
    <w:name w:val="Intense Reference"/>
    <w:qFormat/>
    <w:rsid w:val="0084559f"/>
    <w:rPr>
      <w:b/>
      <w:bCs/>
      <w:smallCaps/>
      <w:color w:val="C0504D"/>
      <w:spacing w:val="5"/>
      <w:u w:val="single"/>
    </w:rPr>
  </w:style>
  <w:style w:type="character" w:styleId="12" w:customStyle="1">
    <w:name w:val="Стиль1 Знак"/>
    <w:link w:val="17"/>
    <w:qFormat/>
    <w:rsid w:val="0084559f"/>
    <w:rPr>
      <w:rFonts w:ascii="Cambria" w:hAnsi="Cambria" w:eastAsia="Times New Roman" w:cs="Times New Roman"/>
      <w:b/>
      <w:bCs/>
      <w:color w:val="365F91"/>
      <w:sz w:val="28"/>
      <w:szCs w:val="28"/>
    </w:rPr>
  </w:style>
  <w:style w:type="character" w:styleId="Style16" w:customStyle="1">
    <w:name w:val="Выделенная цитата Знак"/>
    <w:basedOn w:val="DefaultParagraphFont"/>
    <w:link w:val="aff2"/>
    <w:uiPriority w:val="30"/>
    <w:qFormat/>
    <w:rsid w:val="0084559f"/>
    <w:rPr>
      <w:rFonts w:ascii="Calibri" w:hAnsi="Calibri" w:eastAsia="Calibri" w:cs="Times New Roman"/>
      <w:b/>
      <w:bCs/>
      <w:i/>
      <w:iCs/>
      <w:color w:val="4F81BD"/>
      <w:sz w:val="20"/>
      <w:szCs w:val="20"/>
    </w:rPr>
  </w:style>
  <w:style w:type="character" w:styleId="FontStyle28" w:customStyle="1">
    <w:name w:val="Font Style28"/>
    <w:uiPriority w:val="99"/>
    <w:qFormat/>
    <w:rsid w:val="0084559f"/>
    <w:rPr>
      <w:rFonts w:ascii="Arial" w:hAnsi="Arial" w:cs="Arial"/>
      <w:sz w:val="24"/>
      <w:szCs w:val="24"/>
    </w:rPr>
  </w:style>
  <w:style w:type="character" w:styleId="S11" w:customStyle="1">
    <w:name w:val="S_Маркированный Знак1"/>
    <w:link w:val="S3"/>
    <w:qFormat/>
    <w:locked/>
    <w:rsid w:val="0084559f"/>
    <w:rPr>
      <w:rFonts w:ascii="Times New Roman" w:hAnsi="Times New Roman"/>
      <w:sz w:val="28"/>
      <w:szCs w:val="24"/>
    </w:rPr>
  </w:style>
  <w:style w:type="character" w:styleId="Appleconvertedspace" w:customStyle="1">
    <w:name w:val="apple-converted-space"/>
    <w:qFormat/>
    <w:rsid w:val="0084559f"/>
    <w:rPr/>
  </w:style>
  <w:style w:type="character" w:styleId="Style17" w:customStyle="1">
    <w:name w:val="Текст сноски Знак"/>
    <w:basedOn w:val="DefaultParagraphFont"/>
    <w:link w:val="aff4"/>
    <w:qFormat/>
    <w:rsid w:val="0084559f"/>
    <w:rPr>
      <w:rFonts w:ascii="Times New Roman" w:hAnsi="Times New Roman" w:eastAsia="Times New Roman" w:cs="Times New Roman"/>
      <w:sz w:val="20"/>
      <w:szCs w:val="20"/>
    </w:rPr>
  </w:style>
  <w:style w:type="character" w:styleId="Style18">
    <w:name w:val="Привязка сноски"/>
    <w:rPr>
      <w:vertAlign w:val="superscript"/>
    </w:rPr>
  </w:style>
  <w:style w:type="character" w:styleId="FootnoteCharacters">
    <w:name w:val="Footnote Characters"/>
    <w:qFormat/>
    <w:rsid w:val="0084559f"/>
    <w:rPr>
      <w:vertAlign w:val="superscript"/>
    </w:rPr>
  </w:style>
  <w:style w:type="character" w:styleId="32" w:customStyle="1">
    <w:name w:val="Основной текст с отступом 3 Знак"/>
    <w:basedOn w:val="DefaultParagraphFont"/>
    <w:link w:val="33"/>
    <w:qFormat/>
    <w:rsid w:val="0084559f"/>
    <w:rPr>
      <w:rFonts w:ascii="Times New Roman" w:hAnsi="Times New Roman" w:eastAsia="SimSun" w:cs="Times New Roman"/>
      <w:sz w:val="16"/>
      <w:szCs w:val="16"/>
      <w:lang w:eastAsia="zh-CN"/>
    </w:rPr>
  </w:style>
  <w:style w:type="character" w:styleId="Spelle" w:customStyle="1">
    <w:name w:val="spelle"/>
    <w:basedOn w:val="DefaultParagraphFont"/>
    <w:qFormat/>
    <w:rsid w:val="0084559f"/>
    <w:rPr/>
  </w:style>
  <w:style w:type="character" w:styleId="Grame" w:customStyle="1">
    <w:name w:val="grame"/>
    <w:basedOn w:val="DefaultParagraphFont"/>
    <w:qFormat/>
    <w:rsid w:val="0084559f"/>
    <w:rPr/>
  </w:style>
  <w:style w:type="character" w:styleId="33" w:customStyle="1">
    <w:name w:val="Основной текст 3 Знак"/>
    <w:basedOn w:val="DefaultParagraphFont"/>
    <w:link w:val="35"/>
    <w:qFormat/>
    <w:rsid w:val="0084559f"/>
    <w:rPr>
      <w:rFonts w:ascii="Calibri" w:hAnsi="Calibri" w:eastAsia="Calibri" w:cs="Times New Roman"/>
      <w:sz w:val="16"/>
      <w:szCs w:val="16"/>
    </w:rPr>
  </w:style>
  <w:style w:type="character" w:styleId="S41" w:customStyle="1">
    <w:name w:val="S_Заголовок 4 Знак"/>
    <w:link w:val="S4"/>
    <w:qFormat/>
    <w:rsid w:val="0084559f"/>
    <w:rPr>
      <w:rFonts w:ascii="Times New Roman" w:hAnsi="Times New Roman" w:eastAsia="Times New Roman" w:cs="Times New Roman"/>
      <w:i/>
      <w:sz w:val="24"/>
      <w:szCs w:val="24"/>
      <w:lang w:eastAsia="en-US"/>
    </w:rPr>
  </w:style>
  <w:style w:type="character" w:styleId="111" w:customStyle="1">
    <w:name w:val="Табличный_боковик_11 Знак"/>
    <w:link w:val="110"/>
    <w:qFormat/>
    <w:rsid w:val="00846def"/>
    <w:rPr>
      <w:rFonts w:ascii="Times New Roman" w:hAnsi="Times New Roman" w:eastAsia="Times New Roman" w:cs="Times New Roman"/>
      <w:szCs w:val="24"/>
      <w:lang w:eastAsia="ru-RU"/>
    </w:rPr>
  </w:style>
  <w:style w:type="character" w:styleId="13" w:customStyle="1">
    <w:name w:val="Основной текст Знак1"/>
    <w:basedOn w:val="DefaultParagraphFont"/>
    <w:uiPriority w:val="99"/>
    <w:qFormat/>
    <w:locked/>
    <w:rsid w:val="008421e7"/>
    <w:rPr>
      <w:rFonts w:ascii="Arial" w:hAnsi="Arial" w:cs="Arial"/>
      <w:sz w:val="22"/>
      <w:szCs w:val="22"/>
      <w:u w:val="none"/>
    </w:rPr>
  </w:style>
  <w:style w:type="character" w:styleId="Style19" w:customStyle="1">
    <w:name w:val="Основной текст с отступом Знак"/>
    <w:basedOn w:val="DefaultParagraphFont"/>
    <w:link w:val="aff9"/>
    <w:qFormat/>
    <w:rsid w:val="00b374e4"/>
    <w:rPr>
      <w:rFonts w:ascii="Arial Unicode MS" w:hAnsi="Arial Unicode MS" w:eastAsia="Arial Unicode MS" w:cs="Times New Roman"/>
      <w:color w:val="000000"/>
      <w:sz w:val="24"/>
      <w:szCs w:val="24"/>
    </w:rPr>
  </w:style>
  <w:style w:type="character" w:styleId="Style20" w:customStyle="1">
    <w:name w:val="Обычный (веб) Знак"/>
    <w:link w:val="af0"/>
    <w:qFormat/>
    <w:locked/>
    <w:rsid w:val="00036a8f"/>
    <w:rPr>
      <w:rFonts w:ascii="Times New Roman" w:hAnsi="Times New Roman" w:eastAsia="Times New Roman" w:cs="Times New Roman"/>
      <w:spacing w:val="-5"/>
      <w:sz w:val="28"/>
      <w:szCs w:val="28"/>
    </w:rPr>
  </w:style>
  <w:style w:type="character" w:styleId="Style21" w:customStyle="1">
    <w:name w:val="Без интервала Знак"/>
    <w:link w:val="16"/>
    <w:qFormat/>
    <w:locked/>
    <w:rsid w:val="00f848e6"/>
    <w:rPr>
      <w:rFonts w:ascii="Times New Roman" w:hAnsi="Times New Roman" w:eastAsia="Times New Roman" w:cs="Calibri"/>
      <w:kern w:val="2"/>
      <w:sz w:val="24"/>
      <w:szCs w:val="24"/>
      <w:lang w:eastAsia="ar-SA"/>
    </w:rPr>
  </w:style>
  <w:style w:type="character" w:styleId="24" w:customStyle="1">
    <w:name w:val="Основной текст (2)"/>
    <w:basedOn w:val="DefaultParagraphFont"/>
    <w:qFormat/>
    <w:rsid w:val="00bd15ec"/>
    <w:rPr>
      <w:rFonts w:ascii="Cambria" w:hAnsi="Cambria" w:eastAsia="Cambria" w:cs="Cambria"/>
      <w:b/>
      <w:bCs/>
      <w:i w:val="false"/>
      <w:iCs w:val="false"/>
      <w:caps w:val="false"/>
      <w:smallCaps w:val="false"/>
      <w:strike w:val="false"/>
      <w:dstrike w:val="false"/>
      <w:color w:val="000000"/>
      <w:spacing w:val="0"/>
      <w:w w:val="100"/>
      <w:sz w:val="24"/>
      <w:szCs w:val="24"/>
      <w:u w:val="none"/>
      <w:lang w:val="ru-RU" w:eastAsia="ru-RU" w:bidi="ru-RU"/>
    </w:rPr>
  </w:style>
  <w:style w:type="character" w:styleId="Normal1002" w:customStyle="1">
    <w:name w:val="Normal + 10 пт полужирный По центру Слева:  -02 см Справ... Знак"/>
    <w:basedOn w:val="DefaultParagraphFont"/>
    <w:link w:val="Normal10-02"/>
    <w:qFormat/>
    <w:rsid w:val="005e2d8f"/>
    <w:rPr>
      <w:rFonts w:ascii="Times New Roman" w:hAnsi="Times New Roman" w:eastAsia="Times New Roman" w:cs="Times New Roman"/>
      <w:b/>
      <w:bCs/>
      <w:sz w:val="20"/>
      <w:szCs w:val="20"/>
    </w:rPr>
  </w:style>
  <w:style w:type="character" w:styleId="Normal1" w:customStyle="1">
    <w:name w:val="Normal Знак"/>
    <w:basedOn w:val="DefaultParagraphFont"/>
    <w:link w:val="1d"/>
    <w:qFormat/>
    <w:rsid w:val="005e2d8f"/>
    <w:rPr>
      <w:rFonts w:ascii="Times New Roman" w:hAnsi="Times New Roman" w:eastAsia="Times New Roman" w:cs="Times New Roman"/>
      <w:szCs w:val="20"/>
    </w:rPr>
  </w:style>
  <w:style w:type="character" w:styleId="S3" w:customStyle="1">
    <w:name w:val="S_Заголовок 3 Знак"/>
    <w:basedOn w:val="DefaultParagraphFont"/>
    <w:link w:val="S30"/>
    <w:qFormat/>
    <w:rsid w:val="004e7b02"/>
    <w:rPr>
      <w:rFonts w:ascii="Times New Roman" w:hAnsi="Times New Roman" w:eastAsia="Times New Roman" w:cs="Times New Roman"/>
      <w:sz w:val="24"/>
      <w:szCs w:val="24"/>
      <w:u w:val="single"/>
    </w:rPr>
  </w:style>
  <w:style w:type="character" w:styleId="Style22" w:customStyle="1">
    <w:name w:val="Цветовое выделение"/>
    <w:qFormat/>
    <w:rsid w:val="005c75e7"/>
    <w:rPr>
      <w:b/>
      <w:color w:val="26282F"/>
    </w:rPr>
  </w:style>
  <w:style w:type="character" w:styleId="Style23" w:customStyle="1">
    <w:name w:val="Текст_Обычный"/>
    <w:uiPriority w:val="1"/>
    <w:qFormat/>
    <w:rsid w:val="00746b8c"/>
    <w:rPr>
      <w:b w:val="false"/>
    </w:rPr>
  </w:style>
  <w:style w:type="character" w:styleId="S2" w:customStyle="1">
    <w:name w:val="S_Маркированный Знак"/>
    <w:qFormat/>
    <w:rsid w:val="00746b8c"/>
    <w:rPr>
      <w:w w:val="109"/>
      <w:sz w:val="24"/>
      <w:szCs w:val="24"/>
      <w:lang w:bidi="ar-SA"/>
    </w:rPr>
  </w:style>
  <w:style w:type="character" w:styleId="Mwheadline" w:customStyle="1">
    <w:name w:val="mw-headline"/>
    <w:basedOn w:val="DefaultParagraphFont"/>
    <w:qFormat/>
    <w:rsid w:val="003b2ec2"/>
    <w:rPr/>
  </w:style>
  <w:style w:type="character" w:styleId="Searchresult" w:customStyle="1">
    <w:name w:val="search_result"/>
    <w:basedOn w:val="DefaultParagraphFont"/>
    <w:qFormat/>
    <w:rsid w:val="007e5a76"/>
    <w:rPr/>
  </w:style>
  <w:style w:type="character" w:styleId="Mweditsection" w:customStyle="1">
    <w:name w:val="mw-editsection"/>
    <w:basedOn w:val="DefaultParagraphFont"/>
    <w:qFormat/>
    <w:rsid w:val="00513f22"/>
    <w:rPr/>
  </w:style>
  <w:style w:type="character" w:styleId="Mweditsectionbracket" w:customStyle="1">
    <w:name w:val="mw-editsection-bracket"/>
    <w:basedOn w:val="DefaultParagraphFont"/>
    <w:qFormat/>
    <w:rsid w:val="00513f22"/>
    <w:rPr/>
  </w:style>
  <w:style w:type="character" w:styleId="Mweditsectiondivider" w:customStyle="1">
    <w:name w:val="mw-editsection-divider"/>
    <w:basedOn w:val="DefaultParagraphFont"/>
    <w:qFormat/>
    <w:rsid w:val="00513f22"/>
    <w:rPr/>
  </w:style>
  <w:style w:type="character" w:styleId="Nowrap" w:customStyle="1">
    <w:name w:val="nowrap"/>
    <w:basedOn w:val="DefaultParagraphFont"/>
    <w:qFormat/>
    <w:rsid w:val="00513f22"/>
    <w:rPr/>
  </w:style>
  <w:style w:type="character" w:styleId="Style24" w:customStyle="1">
    <w:name w:val="Подзаголовок Знак"/>
    <w:basedOn w:val="DefaultParagraphFont"/>
    <w:link w:val="afff"/>
    <w:qFormat/>
    <w:rsid w:val="00ee23c7"/>
    <w:rPr>
      <w:rFonts w:ascii="Times New Roman" w:hAnsi="Times New Roman" w:eastAsia="Times New Roman" w:cs="Times New Roman"/>
      <w:b/>
      <w:bCs/>
      <w:sz w:val="24"/>
      <w:szCs w:val="24"/>
    </w:rPr>
  </w:style>
  <w:style w:type="character" w:styleId="IntenseEmphasis">
    <w:name w:val="Intense Emphasis"/>
    <w:basedOn w:val="DefaultParagraphFont"/>
    <w:qFormat/>
    <w:rsid w:val="00ee23c7"/>
    <w:rPr>
      <w:b/>
      <w:bCs/>
      <w:i/>
      <w:iCs/>
      <w:color w:val="4F81BD"/>
    </w:rPr>
  </w:style>
  <w:style w:type="character" w:styleId="61" w:customStyle="1">
    <w:name w:val="Заголовок 6 Знак"/>
    <w:basedOn w:val="DefaultParagraphFont"/>
    <w:link w:val="6"/>
    <w:qFormat/>
    <w:rsid w:val="00e44471"/>
    <w:rPr>
      <w:rFonts w:ascii="Times New Roman" w:hAnsi="Times New Roman" w:eastAsia="Times New Roman" w:cs="Times New Roman"/>
      <w:b/>
      <w:bCs/>
    </w:rPr>
  </w:style>
  <w:style w:type="character" w:styleId="71" w:customStyle="1">
    <w:name w:val="Заголовок 7 Знак"/>
    <w:basedOn w:val="DefaultParagraphFont"/>
    <w:link w:val="7"/>
    <w:qFormat/>
    <w:rsid w:val="00e44471"/>
    <w:rPr>
      <w:rFonts w:ascii="Times New Roman" w:hAnsi="Times New Roman" w:eastAsia="Times New Roman" w:cs="Times New Roman"/>
      <w:sz w:val="24"/>
      <w:szCs w:val="24"/>
    </w:rPr>
  </w:style>
  <w:style w:type="character" w:styleId="91" w:customStyle="1">
    <w:name w:val="Заголовок 9 Знак"/>
    <w:basedOn w:val="DefaultParagraphFont"/>
    <w:link w:val="9"/>
    <w:qFormat/>
    <w:rsid w:val="00e44471"/>
    <w:rPr>
      <w:rFonts w:ascii="Cambria" w:hAnsi="Cambria" w:eastAsia="Times New Roman" w:cs="Times New Roman"/>
    </w:rPr>
  </w:style>
  <w:style w:type="character" w:styleId="Style25" w:customStyle="1">
    <w:name w:val="Чертежный Знак"/>
    <w:link w:val="afff3"/>
    <w:qFormat/>
    <w:rsid w:val="00e44471"/>
    <w:rPr>
      <w:rFonts w:ascii="ISOCPEUR" w:hAnsi="ISOCPEUR" w:eastAsia="Times New Roman" w:cs="Times New Roman"/>
      <w:i/>
      <w:sz w:val="28"/>
      <w:szCs w:val="20"/>
      <w:lang w:val="uk-UA"/>
    </w:rPr>
  </w:style>
  <w:style w:type="character" w:styleId="Annotationreference">
    <w:name w:val="annotation reference"/>
    <w:qFormat/>
    <w:rsid w:val="00e44471"/>
    <w:rPr>
      <w:sz w:val="16"/>
      <w:szCs w:val="16"/>
    </w:rPr>
  </w:style>
  <w:style w:type="character" w:styleId="Style26" w:customStyle="1">
    <w:name w:val="Текст примечания Знак"/>
    <w:basedOn w:val="DefaultParagraphFont"/>
    <w:link w:val="afff6"/>
    <w:qFormat/>
    <w:rsid w:val="00e44471"/>
    <w:rPr>
      <w:rFonts w:ascii="Times New Roman" w:hAnsi="Times New Roman" w:eastAsia="Times New Roman" w:cs="Times New Roman"/>
      <w:sz w:val="20"/>
      <w:szCs w:val="20"/>
    </w:rPr>
  </w:style>
  <w:style w:type="character" w:styleId="Style27" w:customStyle="1">
    <w:name w:val="Тема примечания Знак"/>
    <w:basedOn w:val="Style26"/>
    <w:link w:val="afff8"/>
    <w:qFormat/>
    <w:rsid w:val="00e44471"/>
    <w:rPr>
      <w:rFonts w:ascii="Times New Roman" w:hAnsi="Times New Roman" w:eastAsia="Times New Roman" w:cs="Times New Roman"/>
      <w:b/>
      <w:bCs/>
      <w:sz w:val="20"/>
      <w:szCs w:val="20"/>
    </w:rPr>
  </w:style>
  <w:style w:type="character" w:styleId="Geonika1" w:customStyle="1">
    <w:name w:val="Geonika Заголовок 1 Знак"/>
    <w:link w:val="Geonika1"/>
    <w:qFormat/>
    <w:rsid w:val="00e44471"/>
    <w:rPr>
      <w:rFonts w:ascii="Calibri" w:hAnsi="Calibri" w:eastAsia="Times New Roman" w:cs="Times New Roman"/>
      <w:caps/>
      <w:color w:val="FFFFFF"/>
      <w:spacing w:val="15"/>
      <w:sz w:val="28"/>
      <w:szCs w:val="24"/>
      <w:shd w:fill="244061" w:val="clear"/>
      <w:lang w:eastAsia="en-US" w:bidi="en-US"/>
    </w:rPr>
  </w:style>
  <w:style w:type="character" w:styleId="Geonika" w:customStyle="1">
    <w:name w:val="Geonika Текст в таблице Знак"/>
    <w:link w:val="Geonika"/>
    <w:qFormat/>
    <w:rsid w:val="00e44471"/>
    <w:rPr>
      <w:rFonts w:ascii="Calibri" w:hAnsi="Calibri" w:eastAsia="Times New Roman" w:cs="Times New Roman"/>
      <w:sz w:val="24"/>
      <w:szCs w:val="24"/>
      <w:lang w:eastAsia="ar-SA" w:bidi="en-US"/>
    </w:rPr>
  </w:style>
  <w:style w:type="character" w:styleId="Geonika2" w:customStyle="1">
    <w:name w:val="Geonika Заголовок 2 Знак"/>
    <w:link w:val="Geonika2"/>
    <w:qFormat/>
    <w:rsid w:val="00e44471"/>
    <w:rPr>
      <w:rFonts w:ascii="Calibri" w:hAnsi="Calibri" w:eastAsia="Times New Roman" w:cs="Times New Roman"/>
      <w:caps/>
      <w:color w:val="FFFFFF"/>
      <w:spacing w:val="15"/>
      <w:sz w:val="24"/>
      <w:szCs w:val="24"/>
      <w:shd w:fill="365F91" w:val="clear"/>
      <w:lang w:eastAsia="en-US" w:bidi="en-US"/>
    </w:rPr>
  </w:style>
  <w:style w:type="character" w:styleId="Geonika3" w:customStyle="1">
    <w:name w:val="Geonika Обычный текст Знак"/>
    <w:link w:val="Geonika3"/>
    <w:qFormat/>
    <w:rsid w:val="00e44471"/>
    <w:rPr>
      <w:rFonts w:ascii="Calibri" w:hAnsi="Calibri" w:eastAsia="Times New Roman" w:cs="Times New Roman"/>
      <w:sz w:val="24"/>
      <w:szCs w:val="24"/>
      <w:lang w:eastAsia="ar-SA" w:bidi="en-US"/>
    </w:rPr>
  </w:style>
  <w:style w:type="character" w:styleId="Style28" w:customStyle="1">
    <w:name w:val="ООО  «Институт Территориального Планирования Знак"/>
    <w:link w:val="afffa"/>
    <w:qFormat/>
    <w:rsid w:val="00e44471"/>
    <w:rPr>
      <w:rFonts w:ascii="Calibri" w:hAnsi="Calibri" w:eastAsia="Times New Roman" w:cs="Times New Roman"/>
      <w:sz w:val="20"/>
      <w:szCs w:val="20"/>
      <w:lang w:val="en-US" w:eastAsia="en-US" w:bidi="en-US"/>
    </w:rPr>
  </w:style>
  <w:style w:type="character" w:styleId="Geonika31" w:customStyle="1">
    <w:name w:val="Geonika Заголовок 3 Знак"/>
    <w:link w:val="Geonika30"/>
    <w:qFormat/>
    <w:rsid w:val="00e44471"/>
    <w:rPr>
      <w:rFonts w:ascii="Times New Roman" w:hAnsi="Times New Roman" w:eastAsia="Times New Roman" w:cs="Times New Roman"/>
      <w:caps/>
      <w:color w:val="FFFFFF"/>
      <w:sz w:val="24"/>
      <w:szCs w:val="24"/>
      <w:shd w:fill="95B3D7" w:val="clear"/>
      <w:lang w:eastAsia="ar-SA" w:bidi="en-US"/>
    </w:rPr>
  </w:style>
  <w:style w:type="character" w:styleId="Geonika4" w:customStyle="1">
    <w:name w:val="Geonika Подзаголовк Знак"/>
    <w:link w:val="Geonika5"/>
    <w:qFormat/>
    <w:rsid w:val="00e44471"/>
    <w:rPr>
      <w:rFonts w:ascii="Calibri" w:hAnsi="Calibri" w:eastAsia="Times New Roman" w:cs="Times New Roman"/>
      <w:b/>
      <w:sz w:val="24"/>
      <w:szCs w:val="24"/>
      <w:lang w:eastAsia="ar-SA" w:bidi="en-US"/>
    </w:rPr>
  </w:style>
  <w:style w:type="character" w:styleId="Style29" w:customStyle="1">
    <w:name w:val="Подчеркнутый Знак"/>
    <w:qFormat/>
    <w:rsid w:val="00e44471"/>
    <w:rPr>
      <w:sz w:val="24"/>
      <w:szCs w:val="24"/>
      <w:u w:val="single"/>
      <w:lang w:val="ru-RU" w:eastAsia="ru-RU" w:bidi="ar-SA"/>
    </w:rPr>
  </w:style>
  <w:style w:type="character" w:styleId="Normal10022" w:customStyle="1">
    <w:name w:val="Стиль Normal + 10 пт полужирный По центру Слева:  -02 см Справ...2 Знак"/>
    <w:link w:val="Normal10-022"/>
    <w:qFormat/>
    <w:rsid w:val="00e44471"/>
    <w:rPr>
      <w:rFonts w:ascii="Times New Roman" w:hAnsi="Times New Roman" w:eastAsia="Times New Roman" w:cs="Times New Roman"/>
      <w:b/>
      <w:bCs/>
      <w:sz w:val="20"/>
      <w:szCs w:val="20"/>
    </w:rPr>
  </w:style>
  <w:style w:type="character" w:styleId="Pagenumber">
    <w:name w:val="page number"/>
    <w:basedOn w:val="DefaultParagraphFont"/>
    <w:qFormat/>
    <w:rsid w:val="00e44471"/>
    <w:rPr/>
  </w:style>
  <w:style w:type="character" w:styleId="Style30" w:customStyle="1">
    <w:name w:val="Заголовок Знак"/>
    <w:link w:val="150"/>
    <w:qFormat/>
    <w:rsid w:val="00e44471"/>
    <w:rPr>
      <w:rFonts w:ascii="Cambria" w:hAnsi="Cambria" w:eastAsia="Times New Roman" w:cs="Times New Roman"/>
      <w:b/>
      <w:bCs/>
      <w:kern w:val="2"/>
      <w:sz w:val="32"/>
      <w:szCs w:val="32"/>
    </w:rPr>
  </w:style>
  <w:style w:type="character" w:styleId="FollowedHyperlink">
    <w:name w:val="FollowedHyperlink"/>
    <w:uiPriority w:val="99"/>
    <w:unhideWhenUsed/>
    <w:qFormat/>
    <w:rsid w:val="00e44471"/>
    <w:rPr>
      <w:color w:val="800080"/>
      <w:u w:val="single"/>
    </w:rPr>
  </w:style>
  <w:style w:type="character" w:styleId="PlaceholderText">
    <w:name w:val="Placeholder Text"/>
    <w:uiPriority w:val="99"/>
    <w:semiHidden/>
    <w:qFormat/>
    <w:rsid w:val="00e44471"/>
    <w:rPr>
      <w:color w:val="808080"/>
    </w:rPr>
  </w:style>
  <w:style w:type="character" w:styleId="FontStyle13" w:customStyle="1">
    <w:name w:val="Font Style13"/>
    <w:uiPriority w:val="99"/>
    <w:qFormat/>
    <w:rsid w:val="00e44471"/>
    <w:rPr>
      <w:rFonts w:ascii="MS Reference Sans Serif" w:hAnsi="MS Reference Sans Serif" w:cs="MS Reference Sans Serif"/>
      <w:sz w:val="20"/>
      <w:szCs w:val="20"/>
    </w:rPr>
  </w:style>
  <w:style w:type="character" w:styleId="FontStyle14" w:customStyle="1">
    <w:name w:val="Font Style14"/>
    <w:uiPriority w:val="99"/>
    <w:qFormat/>
    <w:rsid w:val="00e44471"/>
    <w:rPr>
      <w:rFonts w:ascii="MS Reference Sans Serif" w:hAnsi="MS Reference Sans Serif" w:cs="MS Reference Sans Serif"/>
      <w:sz w:val="30"/>
      <w:szCs w:val="30"/>
    </w:rPr>
  </w:style>
  <w:style w:type="character" w:styleId="FontStyle15" w:customStyle="1">
    <w:name w:val="Font Style15"/>
    <w:qFormat/>
    <w:rsid w:val="00e44471"/>
    <w:rPr>
      <w:rFonts w:ascii="MS Reference Sans Serif" w:hAnsi="MS Reference Sans Serif" w:cs="MS Reference Sans Serif"/>
      <w:b/>
      <w:bCs/>
      <w:sz w:val="30"/>
      <w:szCs w:val="30"/>
    </w:rPr>
  </w:style>
  <w:style w:type="character" w:styleId="FontStyle21" w:customStyle="1">
    <w:name w:val="Font Style21"/>
    <w:qFormat/>
    <w:rsid w:val="00e44471"/>
    <w:rPr>
      <w:rFonts w:ascii="MS Reference Sans Serif" w:hAnsi="MS Reference Sans Serif" w:cs="MS Reference Sans Serif"/>
      <w:b/>
      <w:bCs/>
      <w:sz w:val="18"/>
      <w:szCs w:val="18"/>
    </w:rPr>
  </w:style>
  <w:style w:type="character" w:styleId="FontStyle18" w:customStyle="1">
    <w:name w:val="Font Style18"/>
    <w:qFormat/>
    <w:rsid w:val="00e44471"/>
    <w:rPr>
      <w:rFonts w:ascii="MS Reference Sans Serif" w:hAnsi="MS Reference Sans Serif" w:cs="MS Reference Sans Serif"/>
      <w:sz w:val="20"/>
      <w:szCs w:val="20"/>
    </w:rPr>
  </w:style>
  <w:style w:type="character" w:styleId="FontStyle16" w:customStyle="1">
    <w:name w:val="Font Style16"/>
    <w:qFormat/>
    <w:rsid w:val="00e44471"/>
    <w:rPr>
      <w:rFonts w:ascii="MS Reference Sans Serif" w:hAnsi="MS Reference Sans Serif" w:cs="MS Reference Sans Serif"/>
      <w:sz w:val="18"/>
      <w:szCs w:val="18"/>
    </w:rPr>
  </w:style>
  <w:style w:type="character" w:styleId="FontStyle17" w:customStyle="1">
    <w:name w:val="Font Style17"/>
    <w:uiPriority w:val="99"/>
    <w:qFormat/>
    <w:rsid w:val="00e44471"/>
    <w:rPr>
      <w:rFonts w:ascii="MS Reference Sans Serif" w:hAnsi="MS Reference Sans Serif" w:cs="MS Reference Sans Serif"/>
      <w:b/>
      <w:bCs/>
      <w:spacing w:val="10"/>
      <w:sz w:val="14"/>
      <w:szCs w:val="14"/>
    </w:rPr>
  </w:style>
  <w:style w:type="character" w:styleId="FontStyle19" w:customStyle="1">
    <w:name w:val="Font Style19"/>
    <w:qFormat/>
    <w:rsid w:val="00e44471"/>
    <w:rPr>
      <w:rFonts w:ascii="MS Reference Sans Serif" w:hAnsi="MS Reference Sans Serif" w:cs="MS Reference Sans Serif"/>
      <w:sz w:val="18"/>
      <w:szCs w:val="18"/>
    </w:rPr>
  </w:style>
  <w:style w:type="character" w:styleId="FontStyle22" w:customStyle="1">
    <w:name w:val="Font Style22"/>
    <w:qFormat/>
    <w:rsid w:val="00e44471"/>
    <w:rPr>
      <w:rFonts w:ascii="MS Reference Sans Serif" w:hAnsi="MS Reference Sans Serif" w:cs="MS Reference Sans Serif"/>
      <w:b/>
      <w:bCs/>
      <w:sz w:val="18"/>
      <w:szCs w:val="18"/>
    </w:rPr>
  </w:style>
  <w:style w:type="character" w:styleId="FontStyle23" w:customStyle="1">
    <w:name w:val="Font Style23"/>
    <w:qFormat/>
    <w:rsid w:val="00e44471"/>
    <w:rPr>
      <w:rFonts w:ascii="Verdana" w:hAnsi="Verdana" w:cs="Verdana"/>
      <w:i/>
      <w:iCs/>
      <w:sz w:val="20"/>
      <w:szCs w:val="20"/>
    </w:rPr>
  </w:style>
  <w:style w:type="character" w:styleId="FontStyle24" w:customStyle="1">
    <w:name w:val="Font Style24"/>
    <w:qFormat/>
    <w:rsid w:val="00e44471"/>
    <w:rPr>
      <w:rFonts w:ascii="MS Reference Sans Serif" w:hAnsi="MS Reference Sans Serif" w:cs="MS Reference Sans Serif"/>
      <w:b/>
      <w:bCs/>
      <w:sz w:val="52"/>
      <w:szCs w:val="52"/>
    </w:rPr>
  </w:style>
  <w:style w:type="character" w:styleId="FontStyle25" w:customStyle="1">
    <w:name w:val="Font Style25"/>
    <w:qFormat/>
    <w:rsid w:val="00e44471"/>
    <w:rPr>
      <w:rFonts w:ascii="MS Reference Sans Serif" w:hAnsi="MS Reference Sans Serif" w:cs="MS Reference Sans Serif"/>
      <w:b/>
      <w:bCs/>
      <w:w w:val="20"/>
      <w:sz w:val="20"/>
      <w:szCs w:val="20"/>
    </w:rPr>
  </w:style>
  <w:style w:type="character" w:styleId="Style31" w:customStyle="1">
    <w:name w:val="Обычный в таблице Знак"/>
    <w:link w:val="affff3"/>
    <w:qFormat/>
    <w:rsid w:val="00e44471"/>
    <w:rPr>
      <w:rFonts w:ascii="Times New Roman" w:hAnsi="Times New Roman" w:eastAsia="Times New Roman" w:cs="Times New Roman"/>
      <w:sz w:val="24"/>
      <w:szCs w:val="24"/>
    </w:rPr>
  </w:style>
  <w:style w:type="character" w:styleId="Style32" w:customStyle="1">
    <w:name w:val="Абзац рядовой Знак"/>
    <w:link w:val="affff6"/>
    <w:qFormat/>
    <w:rsid w:val="00e44471"/>
    <w:rPr>
      <w:rFonts w:ascii="Times New Roman" w:hAnsi="Times New Roman" w:eastAsia="Times New Roman" w:cs="Times New Roman"/>
      <w:sz w:val="28"/>
      <w:szCs w:val="28"/>
    </w:rPr>
  </w:style>
  <w:style w:type="character" w:styleId="25" w:customStyle="1">
    <w:name w:val="Текст сноски Знак2"/>
    <w:qFormat/>
    <w:rsid w:val="00e44471"/>
    <w:rPr>
      <w:szCs w:val="22"/>
      <w:lang w:val="ru-RU" w:eastAsia="ru-RU" w:bidi="ar-SA"/>
    </w:rPr>
  </w:style>
  <w:style w:type="character" w:styleId="42" w:customStyle="1">
    <w:name w:val="Знак Знак4"/>
    <w:qFormat/>
    <w:locked/>
    <w:rsid w:val="00e44471"/>
    <w:rPr>
      <w:rFonts w:ascii="Calibri" w:hAnsi="Calibri"/>
      <w:sz w:val="24"/>
      <w:szCs w:val="22"/>
      <w:lang w:val="ru-RU" w:eastAsia="ru-RU" w:bidi="ar-SA"/>
    </w:rPr>
  </w:style>
  <w:style w:type="character" w:styleId="131" w:customStyle="1">
    <w:name w:val="Знак Знак13"/>
    <w:qFormat/>
    <w:rsid w:val="00e44471"/>
    <w:rPr>
      <w:bCs/>
      <w:sz w:val="28"/>
      <w:lang w:val="ru-RU" w:eastAsia="ru-RU" w:bidi="ar-SA"/>
    </w:rPr>
  </w:style>
  <w:style w:type="character" w:styleId="15" w:customStyle="1">
    <w:name w:val="Знак15 Знак Знак"/>
    <w:qFormat/>
    <w:rsid w:val="00e44471"/>
    <w:rPr>
      <w:bCs/>
      <w:sz w:val="28"/>
    </w:rPr>
  </w:style>
  <w:style w:type="character" w:styleId="52" w:customStyle="1">
    <w:name w:val="Знак Знак Знак5"/>
    <w:qFormat/>
    <w:rsid w:val="00e44471"/>
    <w:rPr>
      <w:rFonts w:ascii="Times New Roman" w:hAnsi="Times New Roman" w:cs="Times New Roman"/>
      <w:sz w:val="24"/>
      <w:szCs w:val="20"/>
      <w:lang w:eastAsia="ru-RU"/>
    </w:rPr>
  </w:style>
  <w:style w:type="character" w:styleId="43" w:customStyle="1">
    <w:name w:val="Знак Знак Знак4"/>
    <w:qFormat/>
    <w:rsid w:val="00e44471"/>
    <w:rPr>
      <w:rFonts w:ascii="Times New Roman" w:hAnsi="Times New Roman" w:cs="Times New Roman"/>
      <w:sz w:val="24"/>
      <w:szCs w:val="20"/>
      <w:lang w:eastAsia="ru-RU"/>
    </w:rPr>
  </w:style>
  <w:style w:type="character" w:styleId="S5" w:customStyle="1">
    <w:name w:val="S_Обычный Знак Знак"/>
    <w:qFormat/>
    <w:rsid w:val="00e44471"/>
    <w:rPr>
      <w:rFonts w:ascii="Times New Roman" w:hAnsi="Times New Roman" w:cs="Times New Roman"/>
      <w:sz w:val="24"/>
      <w:szCs w:val="24"/>
      <w:lang w:eastAsia="ru-RU"/>
    </w:rPr>
  </w:style>
  <w:style w:type="character" w:styleId="Nowikidata" w:customStyle="1">
    <w:name w:val="no-wikidata"/>
    <w:basedOn w:val="DefaultParagraphFont"/>
    <w:qFormat/>
    <w:rsid w:val="00e44471"/>
    <w:rPr/>
  </w:style>
  <w:style w:type="character" w:styleId="AAA" w:customStyle="1">
    <w:name w:val="! AAA ! Знак"/>
    <w:link w:val="AAA0"/>
    <w:uiPriority w:val="99"/>
    <w:qFormat/>
    <w:locked/>
    <w:rsid w:val="00fc3a16"/>
    <w:rPr>
      <w:sz w:val="16"/>
      <w:lang w:eastAsia="en-US"/>
    </w:rPr>
  </w:style>
  <w:style w:type="character" w:styleId="Style33" w:customStyle="1">
    <w:name w:val="Гипертекстовая ссылка"/>
    <w:basedOn w:val="Style22"/>
    <w:uiPriority w:val="99"/>
    <w:qFormat/>
    <w:rsid w:val="001a3d40"/>
    <w:rPr>
      <w:b/>
      <w:bCs/>
      <w:color w:val="106BBE"/>
    </w:rPr>
  </w:style>
  <w:style w:type="character" w:styleId="26" w:customStyle="1">
    <w:name w:val="Список_маркерный_2_уровень Знак"/>
    <w:link w:val="2"/>
    <w:qFormat/>
    <w:rsid w:val="00470550"/>
    <w:rPr>
      <w:rFonts w:ascii="Times New Roman" w:hAnsi="Times New Roman" w:eastAsia="Times New Roman" w:cs="Times New Roman"/>
      <w:sz w:val="24"/>
      <w:szCs w:val="24"/>
    </w:rPr>
  </w:style>
  <w:style w:type="character" w:styleId="Doccaption" w:customStyle="1">
    <w:name w:val="doccaption"/>
    <w:basedOn w:val="DefaultParagraphFont"/>
    <w:qFormat/>
    <w:rsid w:val="005b30d9"/>
    <w:rPr/>
  </w:style>
  <w:style w:type="character" w:styleId="ListLabel1">
    <w:name w:val="ListLabel 1"/>
    <w:qFormat/>
    <w:rPr>
      <w:rFonts w:cs="Courier New"/>
    </w:rPr>
  </w:style>
  <w:style w:type="character" w:styleId="ListLabel2">
    <w:name w:val="ListLabel 2"/>
    <w:qFormat/>
    <w:rPr>
      <w:rFonts w:cs="Courier New"/>
    </w:rPr>
  </w:style>
  <w:style w:type="character" w:styleId="ListLabel3">
    <w:name w:val="ListLabel 3"/>
    <w:qFormat/>
    <w:rPr>
      <w:rFonts w:cs="Courier New"/>
    </w:rPr>
  </w:style>
  <w:style w:type="character" w:styleId="ListLabel4">
    <w:name w:val="ListLabel 4"/>
    <w:qFormat/>
    <w:rPr>
      <w:b/>
    </w:rPr>
  </w:style>
  <w:style w:type="character" w:styleId="ListLabel5">
    <w:name w:val="ListLabel 5"/>
    <w:qFormat/>
    <w:rPr>
      <w:b/>
    </w:rPr>
  </w:style>
  <w:style w:type="character" w:styleId="ListLabel6">
    <w:name w:val="ListLabel 6"/>
    <w:qFormat/>
    <w:rPr>
      <w:color w:val="auto"/>
    </w:rPr>
  </w:style>
  <w:style w:type="character" w:styleId="ListLabel7">
    <w:name w:val="ListLabel 7"/>
    <w:qFormat/>
    <w:rPr>
      <w:rFonts w:cs="Times New Roman"/>
      <w:b w:val="false"/>
      <w:bCs w:val="false"/>
      <w:i w:val="false"/>
      <w:iCs w:val="false"/>
      <w:caps w:val="false"/>
      <w:smallCaps w:val="false"/>
      <w:strike w:val="false"/>
      <w:dstrike w:val="false"/>
      <w:vanish w:val="false"/>
      <w:color w:val="000000"/>
      <w:spacing w:val="0"/>
      <w:w w:val="100"/>
      <w:kern w:val="0"/>
      <w:position w:val="0"/>
      <w:sz w:val="22"/>
      <w:szCs w:val="0"/>
      <w:u w:val="none"/>
      <w:vertAlign w:val="baseline"/>
      <w:em w:val="none"/>
    </w:rPr>
  </w:style>
  <w:style w:type="character" w:styleId="ListLabel8">
    <w:name w:val="ListLabel 8"/>
    <w:qFormat/>
    <w:rPr>
      <w:color w:val="auto"/>
    </w:rPr>
  </w:style>
  <w:style w:type="character" w:styleId="ListLabel9">
    <w:name w:val="ListLabel 9"/>
    <w:qFormat/>
    <w:rPr>
      <w:rFonts w:cs="Times New Roman"/>
    </w:rPr>
  </w:style>
  <w:style w:type="character" w:styleId="ListLabel10">
    <w:name w:val="ListLabel 10"/>
    <w:qFormat/>
    <w:rPr>
      <w:rFonts w:cs="Times New Roman"/>
    </w:rPr>
  </w:style>
  <w:style w:type="character" w:styleId="ListLabel11">
    <w:name w:val="ListLabel 11"/>
    <w:qFormat/>
    <w:rPr>
      <w:rFonts w:cs="Times New Roman"/>
    </w:rPr>
  </w:style>
  <w:style w:type="character" w:styleId="ListLabel12">
    <w:name w:val="ListLabel 12"/>
    <w:qFormat/>
    <w:rPr>
      <w:rFonts w:cs="Times New Roman"/>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rFonts w:cs="Courier New"/>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ListLabel29">
    <w:name w:val="ListLabel 29"/>
    <w:qFormat/>
    <w:rPr>
      <w:rFonts w:cs="Courier New"/>
    </w:rPr>
  </w:style>
  <w:style w:type="character" w:styleId="ListLabel30">
    <w:name w:val="ListLabel 30"/>
    <w:qFormat/>
    <w:rPr>
      <w:rFonts w:cs="Courier New"/>
    </w:rPr>
  </w:style>
  <w:style w:type="character" w:styleId="ListLabel31">
    <w:name w:val="ListLabel 31"/>
    <w:qFormat/>
    <w:rPr>
      <w:rFonts w:cs="Courier New"/>
    </w:rPr>
  </w:style>
  <w:style w:type="character" w:styleId="ListLabel32">
    <w:name w:val="ListLabel 32"/>
    <w:qFormat/>
    <w:rPr>
      <w:rFonts w:cs="Courier New"/>
    </w:rPr>
  </w:style>
  <w:style w:type="character" w:styleId="ListLabel33">
    <w:name w:val="ListLabel 33"/>
    <w:qFormat/>
    <w:rPr>
      <w:rFonts w:cs="Courier New"/>
    </w:rPr>
  </w:style>
  <w:style w:type="character" w:styleId="ListLabel34">
    <w:name w:val="ListLabel 34"/>
    <w:qFormat/>
    <w:rPr>
      <w:rFonts w:cs="Courier New"/>
    </w:rPr>
  </w:style>
  <w:style w:type="character" w:styleId="ListLabel35">
    <w:name w:val="ListLabel 35"/>
    <w:qFormat/>
    <w:rPr>
      <w:rFonts w:cs="Courier New"/>
    </w:rPr>
  </w:style>
  <w:style w:type="character" w:styleId="ListLabel36">
    <w:name w:val="ListLabel 36"/>
    <w:qFormat/>
    <w:rPr>
      <w:rFonts w:cs="Courier New"/>
    </w:rPr>
  </w:style>
  <w:style w:type="character" w:styleId="ListLabel37">
    <w:name w:val="ListLabel 37"/>
    <w:qFormat/>
    <w:rPr>
      <w:rFonts w:cs="Courier New"/>
    </w:rPr>
  </w:style>
  <w:style w:type="character" w:styleId="ListLabel38">
    <w:name w:val="ListLabel 38"/>
    <w:qFormat/>
    <w:rPr>
      <w:rFonts w:cs="Courier New"/>
    </w:rPr>
  </w:style>
  <w:style w:type="character" w:styleId="ListLabel39">
    <w:name w:val="ListLabel 39"/>
    <w:qFormat/>
    <w:rPr>
      <w:rFonts w:cs="Courier New"/>
    </w:rPr>
  </w:style>
  <w:style w:type="character" w:styleId="ListLabel40">
    <w:name w:val="ListLabel 40"/>
    <w:qFormat/>
    <w:rPr>
      <w:rFonts w:cs="Courier New"/>
    </w:rPr>
  </w:style>
  <w:style w:type="character" w:styleId="ListLabel41">
    <w:name w:val="ListLabel 41"/>
    <w:qFormat/>
    <w:rPr>
      <w:rFonts w:cs="Courier New"/>
    </w:rPr>
  </w:style>
  <w:style w:type="character" w:styleId="ListLabel42">
    <w:name w:val="ListLabel 42"/>
    <w:qFormat/>
    <w:rPr>
      <w:rFonts w:cs="Courier New"/>
    </w:rPr>
  </w:style>
  <w:style w:type="character" w:styleId="ListLabel43">
    <w:name w:val="ListLabel 43"/>
    <w:qFormat/>
    <w:rPr>
      <w:rFonts w:cs="Courier New"/>
    </w:rPr>
  </w:style>
  <w:style w:type="character" w:styleId="ListLabel44">
    <w:name w:val="ListLabel 44"/>
    <w:qFormat/>
    <w:rPr>
      <w:rFonts w:cs="Courier New"/>
    </w:rPr>
  </w:style>
  <w:style w:type="character" w:styleId="ListLabel45">
    <w:name w:val="ListLabel 45"/>
    <w:qFormat/>
    <w:rPr>
      <w:rFonts w:cs="Courier New"/>
    </w:rPr>
  </w:style>
  <w:style w:type="character" w:styleId="ListLabel46">
    <w:name w:val="ListLabel 46"/>
    <w:qFormat/>
    <w:rPr>
      <w:rFonts w:cs="Courier New"/>
    </w:rPr>
  </w:style>
  <w:style w:type="character" w:styleId="ListLabel47">
    <w:name w:val="ListLabel 47"/>
    <w:qFormat/>
    <w:rPr>
      <w:rFonts w:cs="Courier New"/>
    </w:rPr>
  </w:style>
  <w:style w:type="character" w:styleId="ListLabel48">
    <w:name w:val="ListLabel 48"/>
    <w:qFormat/>
    <w:rPr>
      <w:rFonts w:cs="Courier New"/>
    </w:rPr>
  </w:style>
  <w:style w:type="character" w:styleId="ListLabel49">
    <w:name w:val="ListLabel 49"/>
    <w:qFormat/>
    <w:rPr>
      <w:rFonts w:cs="Courier New"/>
    </w:rPr>
  </w:style>
  <w:style w:type="character" w:styleId="ListLabel50">
    <w:name w:val="ListLabel 50"/>
    <w:qFormat/>
    <w:rPr>
      <w:rFonts w:cs="Courier New"/>
    </w:rPr>
  </w:style>
  <w:style w:type="character" w:styleId="ListLabel51">
    <w:name w:val="ListLabel 51"/>
    <w:qFormat/>
    <w:rPr>
      <w:rFonts w:cs="Courier New"/>
    </w:rPr>
  </w:style>
  <w:style w:type="character" w:styleId="ListLabel52">
    <w:name w:val="ListLabel 52"/>
    <w:qFormat/>
    <w:rPr>
      <w:rFonts w:cs="Courier New"/>
    </w:rPr>
  </w:style>
  <w:style w:type="character" w:styleId="ListLabel53">
    <w:name w:val="ListLabel 53"/>
    <w:qFormat/>
    <w:rPr>
      <w:rFonts w:cs="Courier New"/>
    </w:rPr>
  </w:style>
  <w:style w:type="character" w:styleId="ListLabel54">
    <w:name w:val="ListLabel 54"/>
    <w:qFormat/>
    <w:rPr>
      <w:rFonts w:cs="Courier New"/>
    </w:rPr>
  </w:style>
  <w:style w:type="character" w:styleId="ListLabel55">
    <w:name w:val="ListLabel 55"/>
    <w:qFormat/>
    <w:rPr>
      <w:rFonts w:cs="Courier New"/>
    </w:rPr>
  </w:style>
  <w:style w:type="character" w:styleId="ListLabel56">
    <w:name w:val="ListLabel 56"/>
    <w:qFormat/>
    <w:rPr>
      <w:rFonts w:cs="Courier New"/>
    </w:rPr>
  </w:style>
  <w:style w:type="character" w:styleId="ListLabel57">
    <w:name w:val="ListLabel 57"/>
    <w:qFormat/>
    <w:rPr>
      <w:rFonts w:cs="Courier New"/>
    </w:rPr>
  </w:style>
  <w:style w:type="character" w:styleId="ListLabel58">
    <w:name w:val="ListLabel 58"/>
    <w:qFormat/>
    <w:rPr>
      <w:rFonts w:cs="Courier New"/>
    </w:rPr>
  </w:style>
  <w:style w:type="character" w:styleId="ListLabel59">
    <w:name w:val="ListLabel 59"/>
    <w:qFormat/>
    <w:rPr>
      <w:rFonts w:cs="Courier New"/>
    </w:rPr>
  </w:style>
  <w:style w:type="character" w:styleId="ListLabel60">
    <w:name w:val="ListLabel 60"/>
    <w:qFormat/>
    <w:rPr>
      <w:rFonts w:cs="Courier New"/>
    </w:rPr>
  </w:style>
  <w:style w:type="character" w:styleId="ListLabel61">
    <w:name w:val="ListLabel 61"/>
    <w:qFormat/>
    <w:rPr>
      <w:rFonts w:cs="Courier New"/>
    </w:rPr>
  </w:style>
  <w:style w:type="character" w:styleId="ListLabel62">
    <w:name w:val="ListLabel 62"/>
    <w:qFormat/>
    <w:rPr>
      <w:rFonts w:cs="Courier New"/>
    </w:rPr>
  </w:style>
  <w:style w:type="character" w:styleId="ListLabel63">
    <w:name w:val="ListLabel 63"/>
    <w:qFormat/>
    <w:rPr>
      <w:rFonts w:cs="Courier New"/>
    </w:rPr>
  </w:style>
  <w:style w:type="character" w:styleId="ListLabel64">
    <w:name w:val="ListLabel 64"/>
    <w:qFormat/>
    <w:rPr>
      <w:rFonts w:cs="Courier New"/>
    </w:rPr>
  </w:style>
  <w:style w:type="character" w:styleId="ListLabel65">
    <w:name w:val="ListLabel 65"/>
    <w:qFormat/>
    <w:rPr>
      <w:rFonts w:cs="Courier New"/>
    </w:rPr>
  </w:style>
  <w:style w:type="character" w:styleId="ListLabel66">
    <w:name w:val="ListLabel 66"/>
    <w:qFormat/>
    <w:rPr>
      <w:rFonts w:cs="Courier New"/>
    </w:rPr>
  </w:style>
  <w:style w:type="character" w:styleId="ListLabel67">
    <w:name w:val="ListLabel 67"/>
    <w:qFormat/>
    <w:rPr>
      <w:rFonts w:cs="Courier New"/>
    </w:rPr>
  </w:style>
  <w:style w:type="character" w:styleId="ListLabel68">
    <w:name w:val="ListLabel 68"/>
    <w:qFormat/>
    <w:rPr>
      <w:rFonts w:cs="Courier New"/>
    </w:rPr>
  </w:style>
  <w:style w:type="character" w:styleId="ListLabel69">
    <w:name w:val="ListLabel 69"/>
    <w:qFormat/>
    <w:rPr>
      <w:rFonts w:cs="Courier New"/>
    </w:rPr>
  </w:style>
  <w:style w:type="character" w:styleId="ListLabel70">
    <w:name w:val="ListLabel 70"/>
    <w:qFormat/>
    <w:rPr>
      <w:rFonts w:cs="Courier New"/>
    </w:rPr>
  </w:style>
  <w:style w:type="character" w:styleId="ListLabel71">
    <w:name w:val="ListLabel 71"/>
    <w:qFormat/>
    <w:rPr>
      <w:rFonts w:cs="Courier New"/>
    </w:rPr>
  </w:style>
  <w:style w:type="character" w:styleId="ListLabel72">
    <w:name w:val="ListLabel 72"/>
    <w:qFormat/>
    <w:rPr>
      <w:rFonts w:cs="Courier New"/>
    </w:rPr>
  </w:style>
  <w:style w:type="character" w:styleId="ListLabel73">
    <w:name w:val="ListLabel 73"/>
    <w:qFormat/>
    <w:rPr>
      <w:rFonts w:cs="Courier New"/>
    </w:rPr>
  </w:style>
  <w:style w:type="character" w:styleId="ListLabel74">
    <w:name w:val="ListLabel 74"/>
    <w:qFormat/>
    <w:rPr>
      <w:rFonts w:cs="Courier New"/>
    </w:rPr>
  </w:style>
  <w:style w:type="character" w:styleId="ListLabel75">
    <w:name w:val="ListLabel 75"/>
    <w:qFormat/>
    <w:rPr>
      <w:rFonts w:cs="Courier New"/>
    </w:rPr>
  </w:style>
  <w:style w:type="character" w:styleId="ListLabel76">
    <w:name w:val="ListLabel 76"/>
    <w:qFormat/>
    <w:rPr>
      <w:rFonts w:cs="Courier New"/>
    </w:rPr>
  </w:style>
  <w:style w:type="character" w:styleId="ListLabel77">
    <w:name w:val="ListLabel 77"/>
    <w:qFormat/>
    <w:rPr>
      <w:rFonts w:cs="Courier New"/>
    </w:rPr>
  </w:style>
  <w:style w:type="character" w:styleId="ListLabel78">
    <w:name w:val="ListLabel 78"/>
    <w:qFormat/>
    <w:rPr>
      <w:rFonts w:cs="Courier New"/>
    </w:rPr>
  </w:style>
  <w:style w:type="character" w:styleId="ListLabel79">
    <w:name w:val="ListLabel 79"/>
    <w:qFormat/>
    <w:rPr>
      <w:rFonts w:cs="Courier New"/>
    </w:rPr>
  </w:style>
  <w:style w:type="character" w:styleId="ListLabel80">
    <w:name w:val="ListLabel 80"/>
    <w:qFormat/>
    <w:rPr>
      <w:rFonts w:cs="Courier New"/>
    </w:rPr>
  </w:style>
  <w:style w:type="character" w:styleId="ListLabel81">
    <w:name w:val="ListLabel 81"/>
    <w:qFormat/>
    <w:rPr>
      <w:rFonts w:cs="Courier New"/>
    </w:rPr>
  </w:style>
  <w:style w:type="character" w:styleId="ListLabel82">
    <w:name w:val="ListLabel 82"/>
    <w:qFormat/>
    <w:rPr>
      <w:rFonts w:cs="Courier New"/>
    </w:rPr>
  </w:style>
  <w:style w:type="character" w:styleId="ListLabel83">
    <w:name w:val="ListLabel 83"/>
    <w:qFormat/>
    <w:rPr>
      <w:rFonts w:cs="Courier New"/>
    </w:rPr>
  </w:style>
  <w:style w:type="character" w:styleId="ListLabel84">
    <w:name w:val="ListLabel 84"/>
    <w:qFormat/>
    <w:rPr>
      <w:rFonts w:cs="Courier New"/>
    </w:rPr>
  </w:style>
  <w:style w:type="character" w:styleId="ListLabel85">
    <w:name w:val="ListLabel 85"/>
    <w:qFormat/>
    <w:rPr>
      <w:rFonts w:cs="Courier New"/>
    </w:rPr>
  </w:style>
  <w:style w:type="character" w:styleId="ListLabel86">
    <w:name w:val="ListLabel 86"/>
    <w:qFormat/>
    <w:rPr>
      <w:rFonts w:cs="Courier New"/>
    </w:rPr>
  </w:style>
  <w:style w:type="character" w:styleId="ListLabel87">
    <w:name w:val="ListLabel 87"/>
    <w:qFormat/>
    <w:rPr>
      <w:rFonts w:cs="Courier New"/>
    </w:rPr>
  </w:style>
  <w:style w:type="character" w:styleId="ListLabel88">
    <w:name w:val="ListLabel 88"/>
    <w:qFormat/>
    <w:rPr>
      <w:rFonts w:cs="Courier New"/>
    </w:rPr>
  </w:style>
  <w:style w:type="character" w:styleId="ListLabel89">
    <w:name w:val="ListLabel 89"/>
    <w:qFormat/>
    <w:rPr>
      <w:rFonts w:cs="Courier New"/>
    </w:rPr>
  </w:style>
  <w:style w:type="character" w:styleId="ListLabel90">
    <w:name w:val="ListLabel 90"/>
    <w:qFormat/>
    <w:rPr>
      <w:rFonts w:cs="Courier New"/>
    </w:rPr>
  </w:style>
  <w:style w:type="character" w:styleId="ListLabel91">
    <w:name w:val="ListLabel 91"/>
    <w:qFormat/>
    <w:rPr>
      <w:rFonts w:cs="Courier New"/>
    </w:rPr>
  </w:style>
  <w:style w:type="character" w:styleId="ListLabel92">
    <w:name w:val="ListLabel 92"/>
    <w:qFormat/>
    <w:rPr>
      <w:rFonts w:cs="Courier New"/>
    </w:rPr>
  </w:style>
  <w:style w:type="character" w:styleId="ListLabel93">
    <w:name w:val="ListLabel 93"/>
    <w:qFormat/>
    <w:rPr>
      <w:rFonts w:cs="Courier New"/>
    </w:rPr>
  </w:style>
  <w:style w:type="character" w:styleId="ListLabel94">
    <w:name w:val="ListLabel 94"/>
    <w:qFormat/>
    <w:rPr>
      <w:rFonts w:cs="Courier New"/>
    </w:rPr>
  </w:style>
  <w:style w:type="character" w:styleId="ListLabel95">
    <w:name w:val="ListLabel 95"/>
    <w:qFormat/>
    <w:rPr>
      <w:rFonts w:cs="Courier New"/>
    </w:rPr>
  </w:style>
  <w:style w:type="character" w:styleId="ListLabel96">
    <w:name w:val="ListLabel 96"/>
    <w:qFormat/>
    <w:rPr>
      <w:rFonts w:cs="Courier New"/>
    </w:rPr>
  </w:style>
  <w:style w:type="character" w:styleId="ListLabel97">
    <w:name w:val="ListLabel 97"/>
    <w:qFormat/>
    <w:rPr>
      <w:rFonts w:cs="Courier New"/>
    </w:rPr>
  </w:style>
  <w:style w:type="character" w:styleId="ListLabel98">
    <w:name w:val="ListLabel 98"/>
    <w:qFormat/>
    <w:rPr>
      <w:rFonts w:cs="Courier New"/>
    </w:rPr>
  </w:style>
  <w:style w:type="character" w:styleId="ListLabel99">
    <w:name w:val="ListLabel 99"/>
    <w:qFormat/>
    <w:rPr>
      <w:rFonts w:cs="Courier New"/>
    </w:rPr>
  </w:style>
  <w:style w:type="character" w:styleId="ListLabel100">
    <w:name w:val="ListLabel 100"/>
    <w:qFormat/>
    <w:rPr>
      <w:rFonts w:cs="Courier New"/>
    </w:rPr>
  </w:style>
  <w:style w:type="character" w:styleId="ListLabel101">
    <w:name w:val="ListLabel 101"/>
    <w:qFormat/>
    <w:rPr>
      <w:rFonts w:cs="Courier New"/>
    </w:rPr>
  </w:style>
  <w:style w:type="character" w:styleId="ListLabel102">
    <w:name w:val="ListLabel 102"/>
    <w:qFormat/>
    <w:rPr>
      <w:rFonts w:cs="Courier New"/>
    </w:rPr>
  </w:style>
  <w:style w:type="character" w:styleId="ListLabel103">
    <w:name w:val="ListLabel 103"/>
    <w:qFormat/>
    <w:rPr>
      <w:rFonts w:cs="Courier New"/>
    </w:rPr>
  </w:style>
  <w:style w:type="character" w:styleId="ListLabel104">
    <w:name w:val="ListLabel 104"/>
    <w:qFormat/>
    <w:rPr>
      <w:rFonts w:cs="Courier New"/>
    </w:rPr>
  </w:style>
  <w:style w:type="character" w:styleId="ListLabel105">
    <w:name w:val="ListLabel 105"/>
    <w:qFormat/>
    <w:rPr>
      <w:rFonts w:cs="Courier New"/>
    </w:rPr>
  </w:style>
  <w:style w:type="character" w:styleId="ListLabel106">
    <w:name w:val="ListLabel 106"/>
    <w:qFormat/>
    <w:rPr>
      <w:rFonts w:cs="Courier New"/>
    </w:rPr>
  </w:style>
  <w:style w:type="character" w:styleId="ListLabel107">
    <w:name w:val="ListLabel 107"/>
    <w:qFormat/>
    <w:rPr>
      <w:rFonts w:cs="Courier New"/>
    </w:rPr>
  </w:style>
  <w:style w:type="character" w:styleId="ListLabel108">
    <w:name w:val="ListLabel 108"/>
    <w:qFormat/>
    <w:rPr>
      <w:rFonts w:cs="Courier New"/>
    </w:rPr>
  </w:style>
  <w:style w:type="character" w:styleId="ListLabel109">
    <w:name w:val="ListLabel 109"/>
    <w:qFormat/>
    <w:rPr>
      <w:rFonts w:cs="Courier New"/>
    </w:rPr>
  </w:style>
  <w:style w:type="character" w:styleId="ListLabel110">
    <w:name w:val="ListLabel 110"/>
    <w:qFormat/>
    <w:rPr>
      <w:rFonts w:cs="Courier New"/>
    </w:rPr>
  </w:style>
  <w:style w:type="character" w:styleId="ListLabel111">
    <w:name w:val="ListLabel 111"/>
    <w:qFormat/>
    <w:rPr>
      <w:rFonts w:cs="Courier New"/>
    </w:rPr>
  </w:style>
  <w:style w:type="character" w:styleId="ListLabel112">
    <w:name w:val="ListLabel 112"/>
    <w:qFormat/>
    <w:rPr>
      <w:rFonts w:cs="Courier New"/>
    </w:rPr>
  </w:style>
  <w:style w:type="character" w:styleId="ListLabel113">
    <w:name w:val="ListLabel 113"/>
    <w:qFormat/>
    <w:rPr>
      <w:rFonts w:cs="Courier New"/>
    </w:rPr>
  </w:style>
  <w:style w:type="character" w:styleId="ListLabel114">
    <w:name w:val="ListLabel 114"/>
    <w:qFormat/>
    <w:rPr>
      <w:rFonts w:cs="Courier New"/>
    </w:rPr>
  </w:style>
  <w:style w:type="character" w:styleId="ListLabel115">
    <w:name w:val="ListLabel 115"/>
    <w:qFormat/>
    <w:rPr>
      <w:rFonts w:cs="Courier New"/>
    </w:rPr>
  </w:style>
  <w:style w:type="character" w:styleId="ListLabel116">
    <w:name w:val="ListLabel 116"/>
    <w:qFormat/>
    <w:rPr>
      <w:rFonts w:cs="Courier New"/>
    </w:rPr>
  </w:style>
  <w:style w:type="character" w:styleId="ListLabel117">
    <w:name w:val="ListLabel 117"/>
    <w:qFormat/>
    <w:rPr>
      <w:rFonts w:cs="Courier New"/>
    </w:rPr>
  </w:style>
  <w:style w:type="character" w:styleId="ListLabel118">
    <w:name w:val="ListLabel 118"/>
    <w:qFormat/>
    <w:rPr>
      <w:rFonts w:cs="Courier New"/>
    </w:rPr>
  </w:style>
  <w:style w:type="character" w:styleId="ListLabel119">
    <w:name w:val="ListLabel 119"/>
    <w:qFormat/>
    <w:rPr>
      <w:rFonts w:cs="Courier New"/>
    </w:rPr>
  </w:style>
  <w:style w:type="character" w:styleId="ListLabel120">
    <w:name w:val="ListLabel 120"/>
    <w:qFormat/>
    <w:rPr>
      <w:rFonts w:cs="Courier New"/>
    </w:rPr>
  </w:style>
  <w:style w:type="character" w:styleId="ListLabel121">
    <w:name w:val="ListLabel 121"/>
    <w:qFormat/>
    <w:rPr>
      <w:rFonts w:cs="Courier New"/>
    </w:rPr>
  </w:style>
  <w:style w:type="character" w:styleId="ListLabel122">
    <w:name w:val="ListLabel 122"/>
    <w:qFormat/>
    <w:rPr>
      <w:rFonts w:cs="Courier New"/>
    </w:rPr>
  </w:style>
  <w:style w:type="character" w:styleId="ListLabel123">
    <w:name w:val="ListLabel 123"/>
    <w:qFormat/>
    <w:rPr>
      <w:rFonts w:cs="Courier New"/>
    </w:rPr>
  </w:style>
  <w:style w:type="character" w:styleId="ListLabel124">
    <w:name w:val="ListLabel 124"/>
    <w:qFormat/>
    <w:rPr>
      <w:rFonts w:cs="Courier New"/>
    </w:rPr>
  </w:style>
  <w:style w:type="character" w:styleId="ListLabel125">
    <w:name w:val="ListLabel 125"/>
    <w:qFormat/>
    <w:rPr>
      <w:rFonts w:cs="Courier New"/>
    </w:rPr>
  </w:style>
  <w:style w:type="character" w:styleId="ListLabel126">
    <w:name w:val="ListLabel 126"/>
    <w:qFormat/>
    <w:rPr>
      <w:rFonts w:cs="Courier New"/>
    </w:rPr>
  </w:style>
  <w:style w:type="character" w:styleId="ListLabel127">
    <w:name w:val="ListLabel 127"/>
    <w:qFormat/>
    <w:rPr>
      <w:rFonts w:cs="Courier New"/>
    </w:rPr>
  </w:style>
  <w:style w:type="character" w:styleId="ListLabel128">
    <w:name w:val="ListLabel 128"/>
    <w:qFormat/>
    <w:rPr>
      <w:rFonts w:cs="Courier New"/>
    </w:rPr>
  </w:style>
  <w:style w:type="character" w:styleId="ListLabel129">
    <w:name w:val="ListLabel 129"/>
    <w:qFormat/>
    <w:rPr>
      <w:rFonts w:cs="Courier New"/>
    </w:rPr>
  </w:style>
  <w:style w:type="character" w:styleId="ListLabel130">
    <w:name w:val="ListLabel 130"/>
    <w:qFormat/>
    <w:rPr>
      <w:rFonts w:cs="Courier New"/>
    </w:rPr>
  </w:style>
  <w:style w:type="character" w:styleId="ListLabel131">
    <w:name w:val="ListLabel 131"/>
    <w:qFormat/>
    <w:rPr>
      <w:rFonts w:cs="Courier New"/>
    </w:rPr>
  </w:style>
  <w:style w:type="character" w:styleId="ListLabel132">
    <w:name w:val="ListLabel 132"/>
    <w:qFormat/>
    <w:rPr>
      <w:rFonts w:cs="Courier New"/>
    </w:rPr>
  </w:style>
  <w:style w:type="character" w:styleId="ListLabel133">
    <w:name w:val="ListLabel 133"/>
    <w:qFormat/>
    <w:rPr>
      <w:rFonts w:cs="Courier New"/>
    </w:rPr>
  </w:style>
  <w:style w:type="character" w:styleId="ListLabel134">
    <w:name w:val="ListLabel 134"/>
    <w:qFormat/>
    <w:rPr>
      <w:rFonts w:cs="Courier New"/>
    </w:rPr>
  </w:style>
  <w:style w:type="character" w:styleId="ListLabel135">
    <w:name w:val="ListLabel 135"/>
    <w:qFormat/>
    <w:rPr>
      <w:rFonts w:cs="Courier New"/>
    </w:rPr>
  </w:style>
  <w:style w:type="character" w:styleId="ListLabel136">
    <w:name w:val="ListLabel 136"/>
    <w:qFormat/>
    <w:rPr>
      <w:b w:val="false"/>
      <w:bCs w:val="false"/>
      <w:color w:val="auto"/>
    </w:rPr>
  </w:style>
  <w:style w:type="character" w:styleId="ListLabel137">
    <w:name w:val="ListLabel 137"/>
    <w:qFormat/>
    <w:rPr>
      <w:color w:val="auto"/>
      <w:u w:val="none"/>
    </w:rPr>
  </w:style>
  <w:style w:type="paragraph" w:styleId="Style34">
    <w:name w:val="Заголовок"/>
    <w:basedOn w:val="Normal"/>
    <w:next w:val="Style35"/>
    <w:qFormat/>
    <w:pPr>
      <w:keepNext w:val="true"/>
      <w:spacing w:before="240" w:after="120"/>
    </w:pPr>
    <w:rPr>
      <w:rFonts w:ascii="Liberation Sans" w:hAnsi="Liberation Sans" w:eastAsia="Microsoft YaHei" w:cs="Mangal"/>
      <w:sz w:val="28"/>
      <w:szCs w:val="28"/>
    </w:rPr>
  </w:style>
  <w:style w:type="paragraph" w:styleId="Style35">
    <w:name w:val="Body Text"/>
    <w:basedOn w:val="Normal"/>
    <w:link w:val="af3"/>
    <w:unhideWhenUsed/>
    <w:qFormat/>
    <w:rsid w:val="00cc0d2f"/>
    <w:pPr>
      <w:spacing w:before="0" w:after="120"/>
    </w:pPr>
    <w:rPr>
      <w:rFonts w:ascii="Calibri" w:hAnsi="Calibri" w:eastAsia="Times New Roman" w:cs="Calibri"/>
      <w:lang w:eastAsia="en-US"/>
    </w:rPr>
  </w:style>
  <w:style w:type="paragraph" w:styleId="Style36">
    <w:name w:val="List"/>
    <w:basedOn w:val="Style35"/>
    <w:pPr/>
    <w:rPr>
      <w:rFonts w:cs="Mangal"/>
    </w:rPr>
  </w:style>
  <w:style w:type="paragraph" w:styleId="Style37">
    <w:name w:val="Caption"/>
    <w:basedOn w:val="Normal"/>
    <w:qFormat/>
    <w:pPr>
      <w:suppressLineNumbers/>
      <w:spacing w:before="120" w:after="120"/>
    </w:pPr>
    <w:rPr>
      <w:rFonts w:cs="Mangal"/>
      <w:i/>
      <w:iCs/>
      <w:sz w:val="24"/>
      <w:szCs w:val="24"/>
    </w:rPr>
  </w:style>
  <w:style w:type="paragraph" w:styleId="Style38">
    <w:name w:val="Указатель"/>
    <w:basedOn w:val="Normal"/>
    <w:qFormat/>
    <w:pPr>
      <w:suppressLineNumbers/>
    </w:pPr>
    <w:rPr>
      <w:rFonts w:cs="Mangal"/>
    </w:rPr>
  </w:style>
  <w:style w:type="paragraph" w:styleId="Style39">
    <w:name w:val="Header"/>
    <w:basedOn w:val="Normal"/>
    <w:link w:val="a5"/>
    <w:unhideWhenUsed/>
    <w:rsid w:val="00e15fac"/>
    <w:pPr>
      <w:tabs>
        <w:tab w:val="clear" w:pos="709"/>
        <w:tab w:val="center" w:pos="4677" w:leader="none"/>
        <w:tab w:val="right" w:pos="9355" w:leader="none"/>
      </w:tabs>
      <w:spacing w:lineRule="auto" w:line="240" w:before="0" w:after="0"/>
    </w:pPr>
    <w:rPr>
      <w:rFonts w:eastAsia="Calibri" w:eastAsiaTheme="minorHAnsi"/>
      <w:lang w:eastAsia="en-US"/>
    </w:rPr>
  </w:style>
  <w:style w:type="paragraph" w:styleId="Style40">
    <w:name w:val="Footer"/>
    <w:basedOn w:val="Normal"/>
    <w:link w:val="a7"/>
    <w:unhideWhenUsed/>
    <w:rsid w:val="00e15fac"/>
    <w:pPr>
      <w:tabs>
        <w:tab w:val="clear" w:pos="709"/>
        <w:tab w:val="center" w:pos="4677" w:leader="none"/>
        <w:tab w:val="right" w:pos="9355" w:leader="none"/>
      </w:tabs>
      <w:spacing w:lineRule="auto" w:line="240" w:before="0" w:after="0"/>
    </w:pPr>
    <w:rPr>
      <w:rFonts w:eastAsia="Calibri" w:eastAsiaTheme="minorHAnsi"/>
      <w:lang w:eastAsia="en-US"/>
    </w:rPr>
  </w:style>
  <w:style w:type="paragraph" w:styleId="PlainText">
    <w:name w:val="Plain Text"/>
    <w:basedOn w:val="Normal"/>
    <w:link w:val="a9"/>
    <w:uiPriority w:val="99"/>
    <w:qFormat/>
    <w:rsid w:val="00e15fac"/>
    <w:pPr>
      <w:spacing w:lineRule="auto" w:line="240" w:before="0" w:after="0"/>
      <w:jc w:val="both"/>
    </w:pPr>
    <w:rPr>
      <w:rFonts w:ascii="Courier New" w:hAnsi="Courier New" w:eastAsia="Times New Roman" w:cs="Courier New"/>
      <w:sz w:val="20"/>
      <w:szCs w:val="20"/>
    </w:rPr>
  </w:style>
  <w:style w:type="paragraph" w:styleId="Uni" w:customStyle="1">
    <w:name w:val="uni"/>
    <w:basedOn w:val="Normal"/>
    <w:qFormat/>
    <w:rsid w:val="00e555ab"/>
    <w:pPr>
      <w:spacing w:lineRule="auto" w:line="240" w:beforeAutospacing="1" w:afterAutospacing="1"/>
    </w:pPr>
    <w:rPr>
      <w:rFonts w:ascii="Times New Roman" w:hAnsi="Times New Roman" w:eastAsia="Times New Roman" w:cs="Times New Roman"/>
      <w:sz w:val="24"/>
      <w:szCs w:val="24"/>
    </w:rPr>
  </w:style>
  <w:style w:type="paragraph" w:styleId="TOCHeading">
    <w:name w:val="TOC Heading"/>
    <w:basedOn w:val="1"/>
    <w:next w:val="Normal"/>
    <w:unhideWhenUsed/>
    <w:qFormat/>
    <w:rsid w:val="00e16f3f"/>
    <w:pPr/>
    <w:rPr/>
  </w:style>
  <w:style w:type="paragraph" w:styleId="BalloonText">
    <w:name w:val="Balloon Text"/>
    <w:basedOn w:val="Normal"/>
    <w:link w:val="ad"/>
    <w:uiPriority w:val="99"/>
    <w:unhideWhenUsed/>
    <w:qFormat/>
    <w:rsid w:val="00e16f3f"/>
    <w:pPr>
      <w:spacing w:lineRule="auto" w:line="240" w:before="0" w:after="0"/>
    </w:pPr>
    <w:rPr>
      <w:rFonts w:ascii="Tahoma" w:hAnsi="Tahoma" w:cs="Tahoma"/>
      <w:sz w:val="16"/>
      <w:szCs w:val="16"/>
    </w:rPr>
  </w:style>
  <w:style w:type="paragraph" w:styleId="14">
    <w:name w:val="TOC 1"/>
    <w:basedOn w:val="Normal"/>
    <w:next w:val="Normal"/>
    <w:autoRedefine/>
    <w:uiPriority w:val="39"/>
    <w:unhideWhenUsed/>
    <w:qFormat/>
    <w:rsid w:val="00e16f3f"/>
    <w:pPr>
      <w:spacing w:before="0" w:after="100"/>
    </w:pPr>
    <w:rPr/>
  </w:style>
  <w:style w:type="paragraph" w:styleId="ListParagraph">
    <w:name w:val="List Paragraph"/>
    <w:basedOn w:val="Normal"/>
    <w:link w:val="af"/>
    <w:uiPriority w:val="34"/>
    <w:qFormat/>
    <w:rsid w:val="00e52100"/>
    <w:pPr>
      <w:ind w:left="708" w:hanging="0"/>
    </w:pPr>
    <w:rPr>
      <w:rFonts w:ascii="Calibri" w:hAnsi="Calibri" w:eastAsia="Times New Roman" w:cs="Times New Roman"/>
    </w:rPr>
  </w:style>
  <w:style w:type="paragraph" w:styleId="34" w:customStyle="1">
    <w:name w:val="Текст3"/>
    <w:basedOn w:val="Normal"/>
    <w:qFormat/>
    <w:rsid w:val="0011584d"/>
    <w:pPr>
      <w:suppressAutoHyphens w:val="true"/>
      <w:spacing w:lineRule="auto" w:line="240" w:before="0" w:after="0"/>
    </w:pPr>
    <w:rPr>
      <w:rFonts w:ascii="Courier New" w:hAnsi="Courier New" w:eastAsia="Times New Roman" w:cs="Courier New"/>
      <w:color w:val="000000"/>
      <w:sz w:val="20"/>
      <w:szCs w:val="20"/>
      <w:lang w:eastAsia="ar-SA"/>
    </w:rPr>
  </w:style>
  <w:style w:type="paragraph" w:styleId="NormalWeb">
    <w:name w:val="Normal (Web)"/>
    <w:basedOn w:val="Normal"/>
    <w:link w:val="af1"/>
    <w:uiPriority w:val="99"/>
    <w:qFormat/>
    <w:rsid w:val="00cc0d2f"/>
    <w:pPr>
      <w:spacing w:lineRule="auto" w:line="360" w:before="0" w:after="0"/>
      <w:ind w:left="1080" w:firstLine="709"/>
      <w:jc w:val="both"/>
    </w:pPr>
    <w:rPr>
      <w:rFonts w:ascii="Times New Roman" w:hAnsi="Times New Roman" w:eastAsia="Times New Roman" w:cs="Times New Roman"/>
      <w:spacing w:val="-5"/>
      <w:sz w:val="28"/>
      <w:szCs w:val="28"/>
      <w:lang w:eastAsia="en-US"/>
    </w:rPr>
  </w:style>
  <w:style w:type="paragraph" w:styleId="ConsPlusNormal1" w:customStyle="1">
    <w:name w:val="ConsPlusNormal"/>
    <w:link w:val="ConsPlusNormal0"/>
    <w:qFormat/>
    <w:rsid w:val="00cc0d2f"/>
    <w:pPr>
      <w:widowControl w:val="false"/>
      <w:bidi w:val="0"/>
      <w:spacing w:lineRule="auto" w:line="240" w:before="0" w:after="0"/>
      <w:ind w:firstLine="720"/>
      <w:jc w:val="left"/>
    </w:pPr>
    <w:rPr>
      <w:rFonts w:ascii="Arial" w:hAnsi="Arial" w:eastAsia="Times New Roman" w:cs="Arial"/>
      <w:color w:val="auto"/>
      <w:kern w:val="0"/>
      <w:sz w:val="20"/>
      <w:szCs w:val="20"/>
      <w:lang w:val="ru-RU" w:eastAsia="ru-RU" w:bidi="ar-SA"/>
    </w:rPr>
  </w:style>
  <w:style w:type="paragraph" w:styleId="Standard" w:customStyle="1">
    <w:name w:val="Standard"/>
    <w:qFormat/>
    <w:rsid w:val="00cc0d2f"/>
    <w:pPr>
      <w:widowControl w:val="false"/>
      <w:suppressAutoHyphens w:val="true"/>
      <w:bidi w:val="0"/>
      <w:spacing w:lineRule="auto" w:line="240" w:before="0" w:after="0"/>
      <w:jc w:val="left"/>
      <w:textAlignment w:val="baseline"/>
    </w:pPr>
    <w:rPr>
      <w:rFonts w:ascii="Times New Roman" w:hAnsi="Times New Roman" w:eastAsia="Lucida Sans Unicode" w:cs="Mangal"/>
      <w:color w:val="auto"/>
      <w:kern w:val="2"/>
      <w:sz w:val="24"/>
      <w:szCs w:val="24"/>
      <w:lang w:eastAsia="zh-CN" w:bidi="hi-IN" w:val="ru-RU"/>
    </w:rPr>
  </w:style>
  <w:style w:type="paragraph" w:styleId="27" w:customStyle="1">
    <w:name w:val="Текст2"/>
    <w:basedOn w:val="Normal"/>
    <w:qFormat/>
    <w:rsid w:val="00cc0d2f"/>
    <w:pPr>
      <w:suppressAutoHyphens w:val="true"/>
      <w:spacing w:lineRule="auto" w:line="240" w:before="0" w:after="0"/>
    </w:pPr>
    <w:rPr>
      <w:rFonts w:ascii="Courier New" w:hAnsi="Courier New" w:eastAsia="Times New Roman" w:cs="Courier New"/>
      <w:color w:val="000000"/>
      <w:sz w:val="20"/>
      <w:szCs w:val="20"/>
      <w:lang w:eastAsia="ar-SA"/>
    </w:rPr>
  </w:style>
  <w:style w:type="paragraph" w:styleId="Style41" w:customStyle="1">
    <w:name w:val="Мария"/>
    <w:basedOn w:val="Normal"/>
    <w:uiPriority w:val="99"/>
    <w:qFormat/>
    <w:rsid w:val="00f709b4"/>
    <w:pPr>
      <w:suppressAutoHyphens w:val="true"/>
      <w:spacing w:lineRule="auto" w:line="240" w:before="240" w:after="120"/>
      <w:ind w:firstLine="709"/>
      <w:jc w:val="both"/>
    </w:pPr>
    <w:rPr>
      <w:rFonts w:ascii="Calibri" w:hAnsi="Calibri" w:eastAsia="Times New Roman" w:cs="Calibri"/>
      <w:color w:val="000000"/>
      <w:sz w:val="26"/>
      <w:szCs w:val="26"/>
      <w:lang w:eastAsia="ar-SA"/>
    </w:rPr>
  </w:style>
  <w:style w:type="paragraph" w:styleId="16" w:customStyle="1">
    <w:name w:val="Текст1"/>
    <w:basedOn w:val="Normal"/>
    <w:qFormat/>
    <w:rsid w:val="00f709b4"/>
    <w:pPr>
      <w:suppressAutoHyphens w:val="true"/>
      <w:spacing w:lineRule="auto" w:line="240" w:before="0" w:after="0"/>
    </w:pPr>
    <w:rPr>
      <w:rFonts w:ascii="Courier New" w:hAnsi="Courier New" w:eastAsia="Times New Roman" w:cs="Courier New"/>
      <w:color w:val="000000"/>
      <w:sz w:val="20"/>
      <w:szCs w:val="20"/>
      <w:lang w:eastAsia="ar-SA"/>
    </w:rPr>
  </w:style>
  <w:style w:type="paragraph" w:styleId="BodyTextIndent2">
    <w:name w:val="Body Text Indent 2"/>
    <w:basedOn w:val="Normal"/>
    <w:link w:val="25"/>
    <w:unhideWhenUsed/>
    <w:qFormat/>
    <w:rsid w:val="00fa2b35"/>
    <w:pPr>
      <w:spacing w:lineRule="auto" w:line="480" w:before="0" w:after="120"/>
      <w:ind w:left="283" w:hanging="0"/>
    </w:pPr>
    <w:rPr/>
  </w:style>
  <w:style w:type="paragraph" w:styleId="44" w:customStyle="1">
    <w:name w:val="Текст4"/>
    <w:basedOn w:val="Normal"/>
    <w:qFormat/>
    <w:rsid w:val="00fa2b35"/>
    <w:pPr>
      <w:suppressAutoHyphens w:val="true"/>
      <w:spacing w:lineRule="auto" w:line="240" w:before="0" w:after="0"/>
    </w:pPr>
    <w:rPr>
      <w:rFonts w:ascii="Courier New" w:hAnsi="Courier New" w:eastAsia="Times New Roman" w:cs="Courier New"/>
      <w:color w:val="000000"/>
      <w:sz w:val="20"/>
      <w:szCs w:val="20"/>
      <w:lang w:eastAsia="ar-SA"/>
    </w:rPr>
  </w:style>
  <w:style w:type="paragraph" w:styleId="211" w:customStyle="1">
    <w:name w:val="Основной текст с отступом 21"/>
    <w:basedOn w:val="Normal"/>
    <w:qFormat/>
    <w:rsid w:val="00fa2b35"/>
    <w:pPr>
      <w:suppressAutoHyphens w:val="true"/>
      <w:spacing w:lineRule="auto" w:line="240" w:before="0" w:after="0"/>
      <w:ind w:firstLine="708"/>
    </w:pPr>
    <w:rPr>
      <w:rFonts w:ascii="Calibri" w:hAnsi="Calibri" w:eastAsia="Times New Roman" w:cs="Calibri"/>
      <w:color w:val="000000"/>
      <w:sz w:val="24"/>
      <w:szCs w:val="24"/>
      <w:lang w:eastAsia="ar-SA"/>
    </w:rPr>
  </w:style>
  <w:style w:type="paragraph" w:styleId="35" w:customStyle="1">
    <w:name w:val="Знак3 Знак Знак Знак"/>
    <w:basedOn w:val="Normal"/>
    <w:qFormat/>
    <w:rsid w:val="00ee5ac5"/>
    <w:pPr>
      <w:tabs>
        <w:tab w:val="clear" w:pos="709"/>
        <w:tab w:val="left" w:pos="432" w:leader="none"/>
      </w:tabs>
      <w:spacing w:lineRule="auto" w:line="240" w:before="120" w:after="160"/>
      <w:ind w:left="432" w:hanging="432"/>
      <w:jc w:val="both"/>
    </w:pPr>
    <w:rPr>
      <w:rFonts w:ascii="Times New Roman" w:hAnsi="Times New Roman" w:eastAsia="Times New Roman" w:cs="Times New Roman"/>
      <w:b/>
      <w:caps/>
      <w:sz w:val="32"/>
      <w:szCs w:val="32"/>
      <w:lang w:val="en-US" w:eastAsia="en-US"/>
    </w:rPr>
  </w:style>
  <w:style w:type="paragraph" w:styleId="P7" w:customStyle="1">
    <w:name w:val="p7"/>
    <w:basedOn w:val="Normal"/>
    <w:qFormat/>
    <w:rsid w:val="009746f2"/>
    <w:pPr>
      <w:spacing w:lineRule="auto" w:line="240" w:beforeAutospacing="1" w:afterAutospacing="1"/>
    </w:pPr>
    <w:rPr>
      <w:rFonts w:ascii="Times New Roman" w:hAnsi="Times New Roman" w:eastAsia="Times New Roman" w:cs="Times New Roman"/>
      <w:sz w:val="24"/>
      <w:szCs w:val="24"/>
    </w:rPr>
  </w:style>
  <w:style w:type="paragraph" w:styleId="P3" w:customStyle="1">
    <w:name w:val="p3"/>
    <w:basedOn w:val="Normal"/>
    <w:qFormat/>
    <w:rsid w:val="009746f2"/>
    <w:pPr>
      <w:spacing w:lineRule="auto" w:line="240" w:beforeAutospacing="1" w:afterAutospacing="1"/>
    </w:pPr>
    <w:rPr>
      <w:rFonts w:ascii="Times New Roman" w:hAnsi="Times New Roman" w:eastAsia="Times New Roman" w:cs="Times New Roman"/>
      <w:sz w:val="24"/>
      <w:szCs w:val="24"/>
    </w:rPr>
  </w:style>
  <w:style w:type="paragraph" w:styleId="P9" w:customStyle="1">
    <w:name w:val="p9"/>
    <w:basedOn w:val="Normal"/>
    <w:qFormat/>
    <w:rsid w:val="009746f2"/>
    <w:pPr>
      <w:spacing w:lineRule="auto" w:line="240" w:beforeAutospacing="1" w:afterAutospacing="1"/>
    </w:pPr>
    <w:rPr>
      <w:rFonts w:ascii="Times New Roman" w:hAnsi="Times New Roman" w:eastAsia="Times New Roman" w:cs="Times New Roman"/>
      <w:sz w:val="24"/>
      <w:szCs w:val="24"/>
    </w:rPr>
  </w:style>
  <w:style w:type="paragraph" w:styleId="17" w:customStyle="1">
    <w:name w:val="Обычный (веб)1"/>
    <w:basedOn w:val="Normal"/>
    <w:qFormat/>
    <w:rsid w:val="006a6408"/>
    <w:pPr>
      <w:suppressAutoHyphens w:val="true"/>
      <w:spacing w:lineRule="atLeast" w:line="100" w:before="100" w:after="100"/>
    </w:pPr>
    <w:rPr>
      <w:rFonts w:ascii="Times New Roman" w:hAnsi="Times New Roman" w:eastAsia="Times New Roman" w:cs="Times New Roman"/>
      <w:sz w:val="24"/>
      <w:szCs w:val="24"/>
      <w:lang w:eastAsia="ar-SA"/>
    </w:rPr>
  </w:style>
  <w:style w:type="paragraph" w:styleId="Style111" w:customStyle="1">
    <w:name w:val="Style11"/>
    <w:basedOn w:val="Normal"/>
    <w:qFormat/>
    <w:rsid w:val="00ed1fea"/>
    <w:pPr>
      <w:widowControl w:val="false"/>
      <w:spacing w:lineRule="exact" w:line="278" w:before="0" w:after="0"/>
      <w:ind w:firstLine="538"/>
    </w:pPr>
    <w:rPr>
      <w:rFonts w:ascii="Century Schoolbook" w:hAnsi="Century Schoolbook" w:eastAsia="Times New Roman" w:cs="Century Schoolbook"/>
      <w:sz w:val="24"/>
      <w:szCs w:val="24"/>
    </w:rPr>
  </w:style>
  <w:style w:type="paragraph" w:styleId="BodyText2">
    <w:name w:val="Body Text 2"/>
    <w:basedOn w:val="Normal"/>
    <w:link w:val="27"/>
    <w:unhideWhenUsed/>
    <w:qFormat/>
    <w:rsid w:val="00ed1fea"/>
    <w:pPr>
      <w:spacing w:lineRule="auto" w:line="480" w:before="0" w:after="120"/>
    </w:pPr>
    <w:rPr>
      <w:rFonts w:ascii="Calibri" w:hAnsi="Calibri" w:eastAsia="Times New Roman" w:cs="Calibri"/>
      <w:lang w:eastAsia="en-US"/>
    </w:rPr>
  </w:style>
  <w:style w:type="paragraph" w:styleId="Consplusnormal2" w:customStyle="1">
    <w:name w:val="consplusnormal"/>
    <w:basedOn w:val="Normal"/>
    <w:qFormat/>
    <w:rsid w:val="0084559f"/>
    <w:pPr>
      <w:spacing w:lineRule="auto" w:line="240" w:beforeAutospacing="1" w:afterAutospacing="1"/>
    </w:pPr>
    <w:rPr>
      <w:rFonts w:ascii="Times New Roman" w:hAnsi="Times New Roman" w:eastAsia="Times New Roman" w:cs="Times New Roman"/>
      <w:sz w:val="24"/>
      <w:szCs w:val="24"/>
    </w:rPr>
  </w:style>
  <w:style w:type="paragraph" w:styleId="Msonormalbullet2gif" w:customStyle="1">
    <w:name w:val="msonormalbullet2.gif"/>
    <w:basedOn w:val="Normal"/>
    <w:qFormat/>
    <w:rsid w:val="0084559f"/>
    <w:pPr>
      <w:spacing w:lineRule="auto" w:line="240" w:beforeAutospacing="1" w:afterAutospacing="1"/>
    </w:pPr>
    <w:rPr>
      <w:rFonts w:ascii="Times New Roman" w:hAnsi="Times New Roman" w:eastAsia="Times New Roman" w:cs="Times New Roman"/>
      <w:sz w:val="24"/>
      <w:szCs w:val="24"/>
    </w:rPr>
  </w:style>
  <w:style w:type="paragraph" w:styleId="DocumentMap">
    <w:name w:val="Document Map"/>
    <w:basedOn w:val="Normal"/>
    <w:link w:val="af8"/>
    <w:qFormat/>
    <w:rsid w:val="0084559f"/>
    <w:pPr>
      <w:spacing w:lineRule="auto" w:line="240" w:before="0" w:after="0"/>
    </w:pPr>
    <w:rPr>
      <w:rFonts w:ascii="Tahoma" w:hAnsi="Tahoma" w:eastAsia="Times New Roman" w:cs="Tahoma"/>
      <w:sz w:val="16"/>
      <w:szCs w:val="16"/>
    </w:rPr>
  </w:style>
  <w:style w:type="paragraph" w:styleId="Style81" w:customStyle="1">
    <w:name w:val="Style8"/>
    <w:basedOn w:val="Normal"/>
    <w:qFormat/>
    <w:rsid w:val="0084559f"/>
    <w:pPr>
      <w:widowControl w:val="false"/>
      <w:spacing w:lineRule="exact" w:line="269" w:before="0" w:after="0"/>
      <w:ind w:hanging="312"/>
    </w:pPr>
    <w:rPr>
      <w:rFonts w:ascii="Times New Roman" w:hAnsi="Times New Roman" w:eastAsia="Times New Roman" w:cs="Times New Roman"/>
      <w:sz w:val="24"/>
      <w:szCs w:val="24"/>
    </w:rPr>
  </w:style>
  <w:style w:type="paragraph" w:styleId="BlockText">
    <w:name w:val="Block Text"/>
    <w:basedOn w:val="Normal"/>
    <w:unhideWhenUsed/>
    <w:qFormat/>
    <w:rsid w:val="0084559f"/>
    <w:pPr>
      <w:spacing w:lineRule="auto" w:line="240" w:before="0" w:after="0"/>
      <w:ind w:left="142" w:right="5952" w:hanging="0"/>
      <w:jc w:val="both"/>
    </w:pPr>
    <w:rPr>
      <w:rFonts w:ascii="Times New Roman" w:hAnsi="Times New Roman" w:eastAsia="Times New Roman" w:cs="Times New Roman"/>
      <w:sz w:val="24"/>
      <w:szCs w:val="24"/>
    </w:rPr>
  </w:style>
  <w:style w:type="paragraph" w:styleId="Style110" w:customStyle="1">
    <w:name w:val="Style1"/>
    <w:basedOn w:val="Normal"/>
    <w:uiPriority w:val="99"/>
    <w:qFormat/>
    <w:rsid w:val="0084559f"/>
    <w:pPr>
      <w:widowControl w:val="false"/>
      <w:spacing w:lineRule="exact" w:line="264" w:before="0" w:after="0"/>
    </w:pPr>
    <w:rPr>
      <w:rFonts w:ascii="Times New Roman" w:hAnsi="Times New Roman" w:eastAsia="Times New Roman" w:cs="Times New Roman"/>
      <w:sz w:val="24"/>
      <w:szCs w:val="24"/>
    </w:rPr>
  </w:style>
  <w:style w:type="paragraph" w:styleId="Style231" w:customStyle="1">
    <w:name w:val="Style23"/>
    <w:basedOn w:val="Normal"/>
    <w:qFormat/>
    <w:rsid w:val="0084559f"/>
    <w:pPr>
      <w:widowControl w:val="false"/>
      <w:spacing w:lineRule="exact" w:line="298" w:before="0" w:after="0"/>
    </w:pPr>
    <w:rPr>
      <w:rFonts w:ascii="Times New Roman" w:hAnsi="Times New Roman" w:eastAsia="Times New Roman" w:cs="Times New Roman"/>
      <w:sz w:val="24"/>
      <w:szCs w:val="24"/>
    </w:rPr>
  </w:style>
  <w:style w:type="paragraph" w:styleId="Style241" w:customStyle="1">
    <w:name w:val="Style24"/>
    <w:basedOn w:val="Normal"/>
    <w:qFormat/>
    <w:rsid w:val="0084559f"/>
    <w:pPr>
      <w:widowControl w:val="false"/>
      <w:spacing w:lineRule="exact" w:line="283" w:before="0" w:after="0"/>
    </w:pPr>
    <w:rPr>
      <w:rFonts w:ascii="Times New Roman" w:hAnsi="Times New Roman" w:eastAsia="Times New Roman" w:cs="Times New Roman"/>
      <w:sz w:val="24"/>
      <w:szCs w:val="24"/>
    </w:rPr>
  </w:style>
  <w:style w:type="paragraph" w:styleId="Style71" w:customStyle="1">
    <w:name w:val="Style7"/>
    <w:basedOn w:val="Normal"/>
    <w:uiPriority w:val="99"/>
    <w:qFormat/>
    <w:rsid w:val="0084559f"/>
    <w:pPr>
      <w:widowControl w:val="false"/>
      <w:spacing w:lineRule="auto" w:line="240" w:before="0" w:after="0"/>
    </w:pPr>
    <w:rPr>
      <w:rFonts w:ascii="Times New Roman" w:hAnsi="Times New Roman" w:eastAsia="Times New Roman" w:cs="Times New Roman"/>
      <w:sz w:val="24"/>
      <w:szCs w:val="24"/>
    </w:rPr>
  </w:style>
  <w:style w:type="paragraph" w:styleId="S6" w:customStyle="1">
    <w:name w:val="S_Обычный"/>
    <w:basedOn w:val="Normal"/>
    <w:link w:val="S2"/>
    <w:qFormat/>
    <w:rsid w:val="0084559f"/>
    <w:pPr>
      <w:spacing w:lineRule="auto" w:line="360" w:before="0" w:after="0"/>
      <w:ind w:firstLine="709"/>
      <w:jc w:val="both"/>
    </w:pPr>
    <w:rPr>
      <w:rFonts w:ascii="Times New Roman" w:hAnsi="Times New Roman" w:eastAsia="Times New Roman" w:cs="Times New Roman"/>
      <w:sz w:val="24"/>
      <w:szCs w:val="24"/>
    </w:rPr>
  </w:style>
  <w:style w:type="paragraph" w:styleId="Caption">
    <w:name w:val="caption"/>
    <w:basedOn w:val="Normal"/>
    <w:next w:val="Normal"/>
    <w:link w:val="afc"/>
    <w:unhideWhenUsed/>
    <w:qFormat/>
    <w:rsid w:val="0084559f"/>
    <w:pPr>
      <w:spacing w:lineRule="auto" w:line="240"/>
    </w:pPr>
    <w:rPr>
      <w:rFonts w:ascii="Calibri" w:hAnsi="Calibri" w:eastAsia="Times New Roman" w:cs="Times New Roman"/>
      <w:b/>
      <w:bCs/>
      <w:color w:val="4F81BD"/>
      <w:sz w:val="18"/>
      <w:szCs w:val="18"/>
    </w:rPr>
  </w:style>
  <w:style w:type="paragraph" w:styleId="18" w:customStyle="1">
    <w:name w:val="Без интервала1"/>
    <w:link w:val="afd"/>
    <w:uiPriority w:val="99"/>
    <w:qFormat/>
    <w:rsid w:val="0084559f"/>
    <w:pPr>
      <w:widowControl/>
      <w:suppressAutoHyphens w:val="true"/>
      <w:bidi w:val="0"/>
      <w:spacing w:lineRule="auto" w:line="240" w:before="0" w:after="60"/>
      <w:ind w:firstLine="709"/>
      <w:jc w:val="both"/>
    </w:pPr>
    <w:rPr>
      <w:rFonts w:ascii="Times New Roman" w:hAnsi="Times New Roman" w:eastAsia="Times New Roman" w:cs="Calibri"/>
      <w:color w:val="auto"/>
      <w:kern w:val="2"/>
      <w:sz w:val="24"/>
      <w:szCs w:val="24"/>
      <w:lang w:eastAsia="ar-SA" w:val="ru-RU" w:bidi="ar-SA"/>
    </w:rPr>
  </w:style>
  <w:style w:type="paragraph" w:styleId="HTMLPreformatted">
    <w:name w:val="HTML Preformatted"/>
    <w:basedOn w:val="Normal"/>
    <w:link w:val="HTML0"/>
    <w:qFormat/>
    <w:rsid w:val="0084559f"/>
    <w:pPr>
      <w:tabs>
        <w:tab w:val="clear" w:pos="709"/>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612" w:hanging="0"/>
    </w:pPr>
    <w:rPr>
      <w:rFonts w:ascii="Courier New" w:hAnsi="Courier New" w:eastAsia="Times New Roman" w:cs="Times New Roman"/>
      <w:sz w:val="20"/>
      <w:szCs w:val="20"/>
    </w:rPr>
  </w:style>
  <w:style w:type="paragraph" w:styleId="Style42" w:customStyle="1">
    <w:name w:val="в таблице"/>
    <w:basedOn w:val="Normal"/>
    <w:qFormat/>
    <w:rsid w:val="0084559f"/>
    <w:pPr>
      <w:spacing w:lineRule="auto" w:line="240" w:before="0" w:after="0"/>
      <w:jc w:val="both"/>
    </w:pPr>
    <w:rPr>
      <w:rFonts w:ascii="Times New Roman" w:hAnsi="Times New Roman" w:eastAsia="Times New Roman" w:cs="Times New Roman"/>
      <w:sz w:val="20"/>
      <w:szCs w:val="24"/>
    </w:rPr>
  </w:style>
  <w:style w:type="paragraph" w:styleId="ListBullet">
    <w:name w:val="List Bullet"/>
    <w:basedOn w:val="Normal"/>
    <w:unhideWhenUsed/>
    <w:qFormat/>
    <w:rsid w:val="0084559f"/>
    <w:pPr>
      <w:spacing w:before="0" w:after="200"/>
      <w:contextualSpacing/>
    </w:pPr>
    <w:rPr>
      <w:rFonts w:ascii="Calibri" w:hAnsi="Calibri" w:eastAsia="Calibri" w:cs="Times New Roman"/>
      <w:lang w:eastAsia="en-US"/>
    </w:rPr>
  </w:style>
  <w:style w:type="paragraph" w:styleId="28">
    <w:name w:val="TOC 2"/>
    <w:basedOn w:val="Normal"/>
    <w:next w:val="Normal"/>
    <w:autoRedefine/>
    <w:uiPriority w:val="39"/>
    <w:unhideWhenUsed/>
    <w:qFormat/>
    <w:rsid w:val="004d32cd"/>
    <w:pPr>
      <w:tabs>
        <w:tab w:val="clear" w:pos="709"/>
        <w:tab w:val="right" w:pos="9770" w:leader="dot"/>
      </w:tabs>
      <w:spacing w:before="0" w:after="100"/>
      <w:ind w:left="220" w:hanging="0"/>
    </w:pPr>
    <w:rPr>
      <w:rFonts w:ascii="Times New Roman" w:hAnsi="Times New Roman" w:eastAsia="Times New Roman" w:cs="Times New Roman"/>
    </w:rPr>
  </w:style>
  <w:style w:type="paragraph" w:styleId="Style43">
    <w:name w:val="Title"/>
    <w:basedOn w:val="Normal"/>
    <w:next w:val="Normal"/>
    <w:link w:val="aff0"/>
    <w:uiPriority w:val="10"/>
    <w:qFormat/>
    <w:rsid w:val="0084559f"/>
    <w:pPr>
      <w:pBdr>
        <w:bottom w:val="single" w:sz="8" w:space="4" w:color="4F81BD"/>
      </w:pBdr>
      <w:spacing w:lineRule="auto" w:line="240" w:before="0" w:after="300"/>
      <w:contextualSpacing/>
    </w:pPr>
    <w:rPr>
      <w:rFonts w:ascii="Cambria" w:hAnsi="Cambria" w:eastAsia="Times New Roman" w:cs="Times New Roman"/>
      <w:color w:val="17365D"/>
      <w:spacing w:val="5"/>
      <w:kern w:val="2"/>
      <w:sz w:val="52"/>
      <w:szCs w:val="52"/>
    </w:rPr>
  </w:style>
  <w:style w:type="paragraph" w:styleId="19" w:customStyle="1">
    <w:name w:val="Стиль1"/>
    <w:basedOn w:val="1"/>
    <w:link w:val="18"/>
    <w:qFormat/>
    <w:rsid w:val="0084559f"/>
    <w:pPr/>
    <w:rPr>
      <w:rFonts w:ascii="Cambria" w:hAnsi="Cambria" w:eastAsia="Times New Roman" w:cs="Times New Roman"/>
      <w:color w:val="365F91"/>
    </w:rPr>
  </w:style>
  <w:style w:type="paragraph" w:styleId="IntenseQuote">
    <w:name w:val="Intense Quote"/>
    <w:basedOn w:val="Normal"/>
    <w:next w:val="Normal"/>
    <w:link w:val="aff3"/>
    <w:uiPriority w:val="30"/>
    <w:qFormat/>
    <w:rsid w:val="0084559f"/>
    <w:pPr>
      <w:pBdr>
        <w:bottom w:val="single" w:sz="4" w:space="4" w:color="4F81BD"/>
      </w:pBdr>
      <w:spacing w:before="200" w:after="280"/>
      <w:ind w:left="936" w:right="936" w:hanging="0"/>
    </w:pPr>
    <w:rPr>
      <w:rFonts w:ascii="Calibri" w:hAnsi="Calibri" w:eastAsia="Calibri" w:cs="Times New Roman"/>
      <w:b/>
      <w:bCs/>
      <w:i/>
      <w:iCs/>
      <w:color w:val="4F81BD"/>
      <w:sz w:val="20"/>
      <w:szCs w:val="20"/>
    </w:rPr>
  </w:style>
  <w:style w:type="paragraph" w:styleId="Style44" w:customStyle="1">
    <w:name w:val="Style4"/>
    <w:basedOn w:val="Normal"/>
    <w:uiPriority w:val="99"/>
    <w:qFormat/>
    <w:rsid w:val="0084559f"/>
    <w:pPr>
      <w:widowControl w:val="false"/>
      <w:spacing w:lineRule="exact" w:line="274" w:before="0" w:after="0"/>
      <w:ind w:firstLine="720"/>
      <w:jc w:val="both"/>
    </w:pPr>
    <w:rPr>
      <w:rFonts w:ascii="Arial" w:hAnsi="Arial" w:eastAsia="Times New Roman" w:cs="Arial"/>
      <w:sz w:val="24"/>
      <w:szCs w:val="24"/>
    </w:rPr>
  </w:style>
  <w:style w:type="paragraph" w:styleId="S7" w:customStyle="1">
    <w:name w:val="S_Маркированный"/>
    <w:basedOn w:val="ListBullet"/>
    <w:link w:val="S10"/>
    <w:autoRedefine/>
    <w:qFormat/>
    <w:rsid w:val="0084559f"/>
    <w:pPr>
      <w:tabs>
        <w:tab w:val="clear" w:pos="709"/>
        <w:tab w:val="left" w:pos="357" w:leader="none"/>
      </w:tabs>
      <w:spacing w:before="0" w:after="0"/>
      <w:ind w:firstLine="142"/>
      <w:jc w:val="both"/>
      <w:outlineLvl w:val="0"/>
    </w:pPr>
    <w:rPr>
      <w:rFonts w:ascii="Times New Roman" w:hAnsi="Times New Roman" w:eastAsia="Calibri" w:cs="" w:cstheme="minorBidi" w:eastAsiaTheme="minorHAnsi"/>
      <w:sz w:val="28"/>
      <w:szCs w:val="24"/>
    </w:rPr>
  </w:style>
  <w:style w:type="paragraph" w:styleId="110" w:customStyle="1">
    <w:name w:val="Заголовок1"/>
    <w:basedOn w:val="Normal"/>
    <w:next w:val="Style35"/>
    <w:qFormat/>
    <w:rsid w:val="0084559f"/>
    <w:pPr>
      <w:keepNext w:val="true"/>
      <w:suppressAutoHyphens w:val="true"/>
      <w:spacing w:lineRule="auto" w:line="240" w:before="240" w:after="60"/>
      <w:jc w:val="center"/>
    </w:pPr>
    <w:rPr>
      <w:rFonts w:ascii="Cambria" w:hAnsi="Cambria" w:eastAsia="Lucida Sans Unicode" w:cs="Mangal"/>
      <w:b/>
      <w:bCs/>
      <w:kern w:val="2"/>
      <w:sz w:val="32"/>
      <w:szCs w:val="32"/>
      <w:lang w:val="en-US" w:eastAsia="en-US" w:bidi="en-US"/>
    </w:rPr>
  </w:style>
  <w:style w:type="paragraph" w:styleId="29" w:customStyle="1">
    <w:name w:val="Стиль Маркированный список 2"/>
    <w:basedOn w:val="Normal"/>
    <w:qFormat/>
    <w:rsid w:val="0084559f"/>
    <w:pPr>
      <w:spacing w:lineRule="auto" w:line="240" w:before="0" w:after="0"/>
    </w:pPr>
    <w:rPr>
      <w:rFonts w:ascii="Times New Roman" w:hAnsi="Times New Roman" w:eastAsia="Times New Roman" w:cs="Times New Roman"/>
      <w:sz w:val="24"/>
      <w:szCs w:val="24"/>
    </w:rPr>
  </w:style>
  <w:style w:type="paragraph" w:styleId="Style45">
    <w:name w:val="Footnote Text"/>
    <w:basedOn w:val="Normal"/>
    <w:link w:val="aff5"/>
    <w:rsid w:val="0084559f"/>
    <w:pPr>
      <w:widowControl w:val="false"/>
      <w:spacing w:lineRule="auto" w:line="240" w:before="0" w:after="0"/>
    </w:pPr>
    <w:rPr>
      <w:rFonts w:ascii="Times New Roman" w:hAnsi="Times New Roman" w:eastAsia="Times New Roman" w:cs="Times New Roman"/>
      <w:sz w:val="20"/>
      <w:szCs w:val="20"/>
    </w:rPr>
  </w:style>
  <w:style w:type="paragraph" w:styleId="BodyTextIndent3">
    <w:name w:val="Body Text Indent 3"/>
    <w:basedOn w:val="Normal"/>
    <w:link w:val="34"/>
    <w:qFormat/>
    <w:rsid w:val="0084559f"/>
    <w:pPr>
      <w:spacing w:lineRule="auto" w:line="240" w:before="0" w:after="120"/>
      <w:ind w:left="283" w:hanging="0"/>
    </w:pPr>
    <w:rPr>
      <w:rFonts w:ascii="Times New Roman" w:hAnsi="Times New Roman" w:eastAsia="SimSun" w:cs="Times New Roman"/>
      <w:sz w:val="16"/>
      <w:szCs w:val="16"/>
      <w:lang w:eastAsia="zh-CN"/>
    </w:rPr>
  </w:style>
  <w:style w:type="paragraph" w:styleId="Style46" w:customStyle="1">
    <w:name w:val="Содержимое таблицы"/>
    <w:basedOn w:val="Normal"/>
    <w:qFormat/>
    <w:rsid w:val="0084559f"/>
    <w:pPr>
      <w:suppressLineNumbers/>
      <w:suppressAutoHyphens w:val="true"/>
    </w:pPr>
    <w:rPr>
      <w:rFonts w:ascii="Calibri" w:hAnsi="Calibri" w:eastAsia="Times New Roman" w:cs="Calibri"/>
      <w:lang w:eastAsia="ar-SA"/>
    </w:rPr>
  </w:style>
  <w:style w:type="paragraph" w:styleId="BodyText3">
    <w:name w:val="Body Text 3"/>
    <w:basedOn w:val="Normal"/>
    <w:link w:val="36"/>
    <w:unhideWhenUsed/>
    <w:qFormat/>
    <w:rsid w:val="0084559f"/>
    <w:pPr>
      <w:spacing w:before="0" w:after="120"/>
    </w:pPr>
    <w:rPr>
      <w:rFonts w:ascii="Calibri" w:hAnsi="Calibri" w:eastAsia="Calibri" w:cs="Times New Roman"/>
      <w:sz w:val="16"/>
      <w:szCs w:val="16"/>
      <w:lang w:eastAsia="en-US"/>
    </w:rPr>
  </w:style>
  <w:style w:type="paragraph" w:styleId="112" w:customStyle="1">
    <w:name w:val="Маркированный список1"/>
    <w:basedOn w:val="Normal"/>
    <w:uiPriority w:val="99"/>
    <w:qFormat/>
    <w:rsid w:val="0084559f"/>
    <w:pPr>
      <w:widowControl w:val="false"/>
      <w:suppressAutoHyphens w:val="true"/>
      <w:spacing w:lineRule="auto" w:line="240" w:before="120" w:after="0"/>
      <w:jc w:val="both"/>
    </w:pPr>
    <w:rPr>
      <w:rFonts w:ascii="Times New Roman" w:hAnsi="Times New Roman" w:eastAsia="Times New Roman" w:cs="Times New Roman"/>
      <w:sz w:val="26"/>
      <w:szCs w:val="20"/>
      <w:lang w:eastAsia="ar-SA"/>
    </w:rPr>
  </w:style>
  <w:style w:type="paragraph" w:styleId="S12" w:customStyle="1">
    <w:name w:val="S_Заголовок 1"/>
    <w:basedOn w:val="Normal"/>
    <w:qFormat/>
    <w:rsid w:val="0084559f"/>
    <w:pPr>
      <w:tabs>
        <w:tab w:val="clear" w:pos="709"/>
        <w:tab w:val="left" w:pos="360" w:leader="none"/>
      </w:tabs>
      <w:spacing w:lineRule="auto" w:line="240" w:before="0" w:after="0"/>
      <w:ind w:left="360" w:hanging="360"/>
      <w:jc w:val="center"/>
    </w:pPr>
    <w:rPr>
      <w:rFonts w:ascii="Times New Roman" w:hAnsi="Times New Roman" w:eastAsia="Times New Roman" w:cs="Times New Roman"/>
      <w:caps/>
      <w:sz w:val="24"/>
      <w:szCs w:val="24"/>
    </w:rPr>
  </w:style>
  <w:style w:type="paragraph" w:styleId="S21" w:customStyle="1">
    <w:name w:val="S_Заголовок 2"/>
    <w:basedOn w:val="2"/>
    <w:qFormat/>
    <w:rsid w:val="0084559f"/>
    <w:pPr>
      <w:keepNext w:val="false"/>
      <w:keepLines w:val="false"/>
      <w:tabs>
        <w:tab w:val="clear" w:pos="709"/>
        <w:tab w:val="left" w:pos="1134" w:leader="none"/>
      </w:tabs>
      <w:spacing w:lineRule="auto" w:line="360" w:before="0" w:after="0"/>
      <w:ind w:firstLine="720"/>
      <w:jc w:val="both"/>
    </w:pPr>
    <w:rPr>
      <w:rFonts w:ascii="Times New Roman" w:hAnsi="Times New Roman" w:eastAsia="Times New Roman" w:cs="Times New Roman"/>
      <w:bCs w:val="false"/>
      <w:color w:val="auto"/>
      <w:sz w:val="24"/>
      <w:szCs w:val="24"/>
    </w:rPr>
  </w:style>
  <w:style w:type="paragraph" w:styleId="S31" w:customStyle="1">
    <w:name w:val="S_Заголовок 3"/>
    <w:basedOn w:val="3"/>
    <w:link w:val="S31"/>
    <w:qFormat/>
    <w:rsid w:val="0084559f"/>
    <w:pPr>
      <w:keepNext w:val="false"/>
      <w:keepLines w:val="false"/>
      <w:tabs>
        <w:tab w:val="clear" w:pos="709"/>
        <w:tab w:val="left" w:pos="1276" w:leader="none"/>
        <w:tab w:val="left" w:pos="2160" w:leader="none"/>
      </w:tabs>
      <w:spacing w:lineRule="auto" w:line="360" w:before="0" w:after="0"/>
      <w:ind w:firstLine="720"/>
    </w:pPr>
    <w:rPr>
      <w:rFonts w:ascii="Times New Roman" w:hAnsi="Times New Roman" w:eastAsia="Times New Roman" w:cs="Times New Roman"/>
      <w:b w:val="false"/>
      <w:bCs w:val="false"/>
      <w:color w:val="auto"/>
      <w:sz w:val="24"/>
      <w:szCs w:val="24"/>
      <w:u w:val="single"/>
    </w:rPr>
  </w:style>
  <w:style w:type="paragraph" w:styleId="S42" w:customStyle="1">
    <w:name w:val="S_Заголовок 4"/>
    <w:basedOn w:val="4"/>
    <w:next w:val="Caption"/>
    <w:link w:val="S41"/>
    <w:qFormat/>
    <w:rsid w:val="0084559f"/>
    <w:pPr>
      <w:keepNext w:val="false"/>
      <w:spacing w:lineRule="auto" w:line="360" w:before="0" w:after="0"/>
      <w:outlineLvl w:val="4"/>
    </w:pPr>
    <w:rPr>
      <w:rFonts w:ascii="Times New Roman" w:hAnsi="Times New Roman"/>
      <w:b w:val="false"/>
      <w:bCs w:val="false"/>
      <w:i/>
      <w:sz w:val="24"/>
      <w:szCs w:val="24"/>
    </w:rPr>
  </w:style>
  <w:style w:type="paragraph" w:styleId="S51" w:customStyle="1">
    <w:name w:val="S_Заголовок 5"/>
    <w:basedOn w:val="5"/>
    <w:qFormat/>
    <w:rsid w:val="0084559f"/>
    <w:pPr>
      <w:tabs>
        <w:tab w:val="clear" w:pos="709"/>
        <w:tab w:val="left" w:pos="1560" w:leader="none"/>
        <w:tab w:val="left" w:pos="3600" w:leader="none"/>
      </w:tabs>
      <w:spacing w:lineRule="auto" w:line="360" w:before="0" w:after="0"/>
      <w:ind w:left="0" w:firstLine="709"/>
    </w:pPr>
    <w:rPr>
      <w:rFonts w:ascii="Times New Roman" w:hAnsi="Times New Roman"/>
      <w:b w:val="false"/>
      <w:bCs w:val="false"/>
      <w:i w:val="false"/>
      <w:iCs w:val="false"/>
      <w:sz w:val="24"/>
      <w:szCs w:val="24"/>
      <w:lang w:eastAsia="ru-RU"/>
    </w:rPr>
  </w:style>
  <w:style w:type="paragraph" w:styleId="36">
    <w:name w:val="TOC 3"/>
    <w:basedOn w:val="Normal"/>
    <w:next w:val="Normal"/>
    <w:autoRedefine/>
    <w:uiPriority w:val="1"/>
    <w:unhideWhenUsed/>
    <w:qFormat/>
    <w:rsid w:val="00ab72b7"/>
    <w:pPr>
      <w:spacing w:before="0" w:after="100"/>
      <w:ind w:left="440" w:hanging="0"/>
    </w:pPr>
    <w:rPr/>
  </w:style>
  <w:style w:type="paragraph" w:styleId="Western" w:customStyle="1">
    <w:name w:val="western"/>
    <w:basedOn w:val="Normal"/>
    <w:qFormat/>
    <w:rsid w:val="007b4e15"/>
    <w:pPr>
      <w:spacing w:lineRule="auto" w:line="360" w:beforeAutospacing="1" w:after="0"/>
      <w:ind w:firstLine="720"/>
    </w:pPr>
    <w:rPr>
      <w:rFonts w:ascii="Times New Roman" w:hAnsi="Times New Roman" w:eastAsia="Times New Roman" w:cs="Times New Roman"/>
      <w:sz w:val="24"/>
      <w:szCs w:val="24"/>
    </w:rPr>
  </w:style>
  <w:style w:type="paragraph" w:styleId="Formattext" w:customStyle="1">
    <w:name w:val="formattext"/>
    <w:basedOn w:val="Normal"/>
    <w:qFormat/>
    <w:rsid w:val="00846def"/>
    <w:pPr>
      <w:spacing w:lineRule="auto" w:line="240" w:beforeAutospacing="1" w:afterAutospacing="1"/>
    </w:pPr>
    <w:rPr>
      <w:rFonts w:ascii="Times New Roman" w:hAnsi="Times New Roman" w:eastAsia="Times New Roman" w:cs="Times New Roman"/>
      <w:sz w:val="24"/>
      <w:szCs w:val="24"/>
    </w:rPr>
  </w:style>
  <w:style w:type="paragraph" w:styleId="113" w:customStyle="1">
    <w:name w:val="Табличный_боковик_11"/>
    <w:link w:val="111"/>
    <w:qFormat/>
    <w:rsid w:val="00846def"/>
    <w:pPr>
      <w:widowControl/>
      <w:bidi w:val="0"/>
      <w:spacing w:lineRule="auto" w:line="240" w:before="0" w:after="0"/>
      <w:jc w:val="left"/>
    </w:pPr>
    <w:rPr>
      <w:rFonts w:ascii="Times New Roman" w:hAnsi="Times New Roman" w:eastAsia="Times New Roman" w:cs="Times New Roman"/>
      <w:color w:val="auto"/>
      <w:kern w:val="0"/>
      <w:sz w:val="22"/>
      <w:szCs w:val="24"/>
      <w:lang w:val="ru-RU" w:eastAsia="ru-RU" w:bidi="ar-SA"/>
    </w:rPr>
  </w:style>
  <w:style w:type="paragraph" w:styleId="210" w:customStyle="1">
    <w:name w:val="Обычный (веб)2"/>
    <w:basedOn w:val="Normal"/>
    <w:qFormat/>
    <w:rsid w:val="00e31540"/>
    <w:pPr>
      <w:suppressAutoHyphens w:val="true"/>
      <w:spacing w:lineRule="atLeast" w:line="100" w:before="100" w:after="100"/>
    </w:pPr>
    <w:rPr>
      <w:rFonts w:ascii="Times New Roman" w:hAnsi="Times New Roman" w:eastAsia="Times New Roman" w:cs="Times New Roman"/>
      <w:sz w:val="24"/>
      <w:szCs w:val="24"/>
      <w:lang w:eastAsia="ar-SA"/>
    </w:rPr>
  </w:style>
  <w:style w:type="paragraph" w:styleId="Style47" w:customStyle="1">
    <w:name w:val="Знак Знак Знак Знак"/>
    <w:basedOn w:val="Normal"/>
    <w:qFormat/>
    <w:rsid w:val="00e31540"/>
    <w:pPr>
      <w:widowControl w:val="false"/>
      <w:spacing w:lineRule="exact" w:line="240" w:before="0" w:after="160"/>
      <w:jc w:val="right"/>
    </w:pPr>
    <w:rPr>
      <w:rFonts w:ascii="Times New Roman" w:hAnsi="Times New Roman" w:eastAsia="Times New Roman" w:cs="Times New Roman"/>
      <w:sz w:val="20"/>
      <w:szCs w:val="20"/>
      <w:lang w:val="en-GB" w:eastAsia="en-US"/>
    </w:rPr>
  </w:style>
  <w:style w:type="paragraph" w:styleId="Default" w:customStyle="1">
    <w:name w:val="Default"/>
    <w:uiPriority w:val="99"/>
    <w:qFormat/>
    <w:rsid w:val="004265af"/>
    <w:pPr>
      <w:widowControl/>
      <w:bidi w:val="0"/>
      <w:spacing w:lineRule="auto" w:line="240" w:before="0" w:after="0"/>
      <w:jc w:val="left"/>
    </w:pPr>
    <w:rPr>
      <w:rFonts w:ascii="Times New Roman" w:hAnsi="Times New Roman" w:cs="Times New Roman" w:eastAsia=""/>
      <w:color w:val="000000"/>
      <w:kern w:val="0"/>
      <w:sz w:val="24"/>
      <w:szCs w:val="24"/>
      <w:lang w:val="ru-RU" w:eastAsia="ru-RU" w:bidi="ar-SA"/>
    </w:rPr>
  </w:style>
  <w:style w:type="paragraph" w:styleId="37" w:customStyle="1">
    <w:name w:val="Обычный (веб)3"/>
    <w:basedOn w:val="Normal"/>
    <w:qFormat/>
    <w:rsid w:val="00b374e4"/>
    <w:pPr>
      <w:suppressAutoHyphens w:val="true"/>
      <w:spacing w:lineRule="atLeast" w:line="100" w:before="100" w:after="100"/>
    </w:pPr>
    <w:rPr>
      <w:rFonts w:ascii="Times New Roman" w:hAnsi="Times New Roman" w:eastAsia="Times New Roman" w:cs="Times New Roman"/>
      <w:sz w:val="24"/>
      <w:szCs w:val="24"/>
      <w:lang w:eastAsia="ar-SA"/>
    </w:rPr>
  </w:style>
  <w:style w:type="paragraph" w:styleId="Style48">
    <w:name w:val="Body Text Indent"/>
    <w:basedOn w:val="Normal"/>
    <w:link w:val="affa"/>
    <w:unhideWhenUsed/>
    <w:rsid w:val="00b374e4"/>
    <w:pPr>
      <w:spacing w:lineRule="auto" w:line="240" w:before="0" w:after="120"/>
      <w:ind w:left="283" w:hanging="0"/>
    </w:pPr>
    <w:rPr>
      <w:rFonts w:ascii="Arial Unicode MS" w:hAnsi="Arial Unicode MS" w:eastAsia="Arial Unicode MS" w:cs="Times New Roman"/>
      <w:color w:val="000000"/>
      <w:sz w:val="24"/>
      <w:szCs w:val="24"/>
    </w:rPr>
  </w:style>
  <w:style w:type="paragraph" w:styleId="NoSpacing">
    <w:name w:val="No Spacing"/>
    <w:qFormat/>
    <w:rsid w:val="00b374e4"/>
    <w:pPr>
      <w:widowControl/>
      <w:bidi w:val="0"/>
      <w:spacing w:lineRule="auto" w:line="240" w:before="0" w:after="0"/>
      <w:jc w:val="left"/>
    </w:pPr>
    <w:rPr>
      <w:rFonts w:ascii="Calibri" w:hAnsi="Calibri" w:eastAsia="" w:cs="" w:asciiTheme="minorHAnsi" w:cstheme="minorBidi" w:eastAsiaTheme="minorEastAsia" w:hAnsiTheme="minorHAnsi"/>
      <w:color w:val="auto"/>
      <w:kern w:val="0"/>
      <w:sz w:val="22"/>
      <w:szCs w:val="22"/>
      <w:lang w:val="ru-RU" w:eastAsia="ru-RU" w:bidi="ar-SA"/>
    </w:rPr>
  </w:style>
  <w:style w:type="paragraph" w:styleId="Style49" w:customStyle="1">
    <w:name w:val="Нормальный (таблица)"/>
    <w:basedOn w:val="Normal"/>
    <w:next w:val="Normal"/>
    <w:uiPriority w:val="99"/>
    <w:qFormat/>
    <w:rsid w:val="00b3537f"/>
    <w:pPr>
      <w:widowControl w:val="false"/>
      <w:spacing w:lineRule="auto" w:line="240" w:before="0" w:after="0"/>
      <w:jc w:val="both"/>
    </w:pPr>
    <w:rPr>
      <w:rFonts w:ascii="Times New Roman CYR" w:hAnsi="Times New Roman CYR" w:eastAsia="Times New Roman" w:cs="Times New Roman CYR"/>
      <w:sz w:val="24"/>
      <w:szCs w:val="24"/>
    </w:rPr>
  </w:style>
  <w:style w:type="paragraph" w:styleId="114" w:customStyle="1">
    <w:name w:val="Абзац списка1"/>
    <w:basedOn w:val="Normal"/>
    <w:qFormat/>
    <w:rsid w:val="00a03d9e"/>
    <w:pPr>
      <w:ind w:left="720" w:hanging="0"/>
    </w:pPr>
    <w:rPr>
      <w:rFonts w:ascii="Calibri" w:hAnsi="Calibri" w:eastAsia="Times New Roman" w:cs="Calibri"/>
      <w:lang w:eastAsia="en-US"/>
    </w:rPr>
  </w:style>
  <w:style w:type="paragraph" w:styleId="45" w:customStyle="1">
    <w:name w:val="Обычный (веб)4"/>
    <w:basedOn w:val="Normal"/>
    <w:qFormat/>
    <w:rsid w:val="009f35ee"/>
    <w:pPr>
      <w:suppressAutoHyphens w:val="true"/>
      <w:spacing w:lineRule="atLeast" w:line="100" w:before="100" w:after="100"/>
    </w:pPr>
    <w:rPr>
      <w:rFonts w:ascii="Times New Roman" w:hAnsi="Times New Roman" w:eastAsia="Times New Roman" w:cs="Times New Roman"/>
      <w:sz w:val="24"/>
      <w:szCs w:val="24"/>
      <w:lang w:eastAsia="ar-SA"/>
    </w:rPr>
  </w:style>
  <w:style w:type="paragraph" w:styleId="ConsTitle" w:customStyle="1">
    <w:name w:val="ConsTitle"/>
    <w:uiPriority w:val="99"/>
    <w:qFormat/>
    <w:rsid w:val="004d2095"/>
    <w:pPr>
      <w:widowControl w:val="false"/>
      <w:suppressAutoHyphens w:val="true"/>
      <w:bidi w:val="0"/>
      <w:spacing w:lineRule="auto" w:line="240" w:before="0" w:after="0"/>
      <w:ind w:right="19772" w:hanging="0"/>
      <w:jc w:val="left"/>
    </w:pPr>
    <w:rPr>
      <w:rFonts w:ascii="Arial" w:hAnsi="Arial" w:eastAsia="Times New Roman" w:cs="Arial"/>
      <w:b/>
      <w:bCs/>
      <w:color w:val="auto"/>
      <w:kern w:val="0"/>
      <w:sz w:val="22"/>
      <w:szCs w:val="22"/>
      <w:lang w:eastAsia="zh-CN" w:val="ru-RU" w:bidi="ar-SA"/>
    </w:rPr>
  </w:style>
  <w:style w:type="paragraph" w:styleId="Normal10021" w:customStyle="1">
    <w:name w:val="Normal + 10 пт полужирный По центру Слева:  -02 см Справ..."/>
    <w:basedOn w:val="Normal"/>
    <w:link w:val="Normal10-020"/>
    <w:qFormat/>
    <w:rsid w:val="005e2d8f"/>
    <w:pPr>
      <w:spacing w:lineRule="auto" w:line="240" w:before="0" w:after="0"/>
      <w:ind w:left="-113" w:right="-113" w:hanging="0"/>
      <w:jc w:val="center"/>
    </w:pPr>
    <w:rPr>
      <w:rFonts w:ascii="Times New Roman" w:hAnsi="Times New Roman" w:eastAsia="Times New Roman" w:cs="Times New Roman"/>
      <w:b/>
      <w:bCs/>
      <w:sz w:val="20"/>
      <w:szCs w:val="20"/>
    </w:rPr>
  </w:style>
  <w:style w:type="paragraph" w:styleId="115" w:customStyle="1">
    <w:name w:val="Обычный1"/>
    <w:link w:val="Normal"/>
    <w:qFormat/>
    <w:rsid w:val="005e2d8f"/>
    <w:pPr>
      <w:widowControl/>
      <w:bidi w:val="0"/>
      <w:snapToGrid w:val="false"/>
      <w:spacing w:lineRule="auto" w:line="240" w:before="0" w:after="0"/>
      <w:jc w:val="left"/>
    </w:pPr>
    <w:rPr>
      <w:rFonts w:ascii="Times New Roman" w:hAnsi="Times New Roman" w:eastAsia="Times New Roman" w:cs="Times New Roman"/>
      <w:color w:val="auto"/>
      <w:kern w:val="0"/>
      <w:sz w:val="22"/>
      <w:szCs w:val="20"/>
      <w:lang w:val="ru-RU" w:eastAsia="ru-RU" w:bidi="ar-SA"/>
    </w:rPr>
  </w:style>
  <w:style w:type="paragraph" w:styleId="38" w:customStyle="1">
    <w:name w:val="Обычный3"/>
    <w:qFormat/>
    <w:rsid w:val="005e2d8f"/>
    <w:pPr>
      <w:widowControl/>
      <w:bidi w:val="0"/>
      <w:snapToGrid w:val="false"/>
      <w:spacing w:lineRule="auto" w:line="240" w:before="0" w:after="0"/>
      <w:jc w:val="left"/>
    </w:pPr>
    <w:rPr>
      <w:rFonts w:ascii="Times New Roman" w:hAnsi="Times New Roman" w:eastAsia="Times New Roman" w:cs="Times New Roman"/>
      <w:color w:val="auto"/>
      <w:kern w:val="0"/>
      <w:sz w:val="22"/>
      <w:szCs w:val="20"/>
      <w:lang w:val="ru-RU" w:eastAsia="ru-RU" w:bidi="ar-SA"/>
    </w:rPr>
  </w:style>
  <w:style w:type="paragraph" w:styleId="116" w:customStyle="1">
    <w:name w:val="Знак Знак Знак Знак Знак1"/>
    <w:basedOn w:val="Normal"/>
    <w:qFormat/>
    <w:rsid w:val="00e86a36"/>
    <w:pPr>
      <w:spacing w:lineRule="auto" w:line="240" w:beforeAutospacing="1" w:afterAutospacing="1"/>
    </w:pPr>
    <w:rPr>
      <w:rFonts w:ascii="Tahoma" w:hAnsi="Tahoma" w:eastAsia="Times New Roman" w:cs="Tahoma"/>
      <w:sz w:val="20"/>
      <w:szCs w:val="20"/>
      <w:lang w:val="en-US" w:eastAsia="en-US"/>
    </w:rPr>
  </w:style>
  <w:style w:type="paragraph" w:styleId="117" w:customStyle="1">
    <w:name w:val="Стиль Первая строка:  1 см"/>
    <w:basedOn w:val="Normal"/>
    <w:qFormat/>
    <w:rsid w:val="004860e4"/>
    <w:pPr>
      <w:spacing w:lineRule="auto" w:line="240" w:before="120" w:after="0"/>
      <w:jc w:val="both"/>
    </w:pPr>
    <w:rPr>
      <w:rFonts w:ascii="Times New Roman" w:hAnsi="Times New Roman" w:eastAsia="Times New Roman" w:cs="Times New Roman"/>
      <w:sz w:val="26"/>
      <w:szCs w:val="20"/>
    </w:rPr>
  </w:style>
  <w:style w:type="paragraph" w:styleId="Style50">
    <w:name w:val="Subtitle"/>
    <w:basedOn w:val="28"/>
    <w:next w:val="28"/>
    <w:link w:val="afff0"/>
    <w:autoRedefine/>
    <w:qFormat/>
    <w:rsid w:val="00ee23c7"/>
    <w:pPr>
      <w:spacing w:lineRule="auto" w:line="360" w:before="0" w:after="300"/>
      <w:ind w:left="0" w:firstLine="567"/>
      <w:jc w:val="center"/>
      <w:outlineLvl w:val="1"/>
    </w:pPr>
    <w:rPr>
      <w:b/>
      <w:bCs/>
      <w:sz w:val="24"/>
      <w:szCs w:val="24"/>
    </w:rPr>
  </w:style>
  <w:style w:type="paragraph" w:styleId="212" w:customStyle="1">
    <w:name w:val="Знак2"/>
    <w:basedOn w:val="Normal"/>
    <w:qFormat/>
    <w:rsid w:val="00e44471"/>
    <w:pPr>
      <w:spacing w:lineRule="exact" w:line="240" w:before="0" w:after="160"/>
    </w:pPr>
    <w:rPr>
      <w:rFonts w:ascii="Verdana" w:hAnsi="Verdana" w:eastAsia="Times New Roman" w:cs="Times New Roman"/>
      <w:sz w:val="20"/>
      <w:szCs w:val="20"/>
      <w:lang w:val="en-US" w:eastAsia="en-US"/>
    </w:rPr>
  </w:style>
  <w:style w:type="paragraph" w:styleId="Style51" w:customStyle="1">
    <w:name w:val="Штамп"/>
    <w:basedOn w:val="Normal"/>
    <w:qFormat/>
    <w:rsid w:val="00e44471"/>
    <w:pPr>
      <w:spacing w:lineRule="auto" w:line="240" w:before="0" w:after="0"/>
      <w:jc w:val="center"/>
    </w:pPr>
    <w:rPr>
      <w:rFonts w:ascii="ГОСТ тип А" w:hAnsi="ГОСТ тип А" w:eastAsia="Times New Roman" w:cs="Times New Roman"/>
      <w:i/>
      <w:sz w:val="18"/>
      <w:szCs w:val="20"/>
    </w:rPr>
  </w:style>
  <w:style w:type="paragraph" w:styleId="Style52" w:customStyle="1">
    <w:name w:val="Чертежный"/>
    <w:link w:val="afff4"/>
    <w:qFormat/>
    <w:rsid w:val="00e44471"/>
    <w:pPr>
      <w:widowControl/>
      <w:bidi w:val="0"/>
      <w:spacing w:lineRule="auto" w:line="240" w:before="0" w:after="0"/>
      <w:jc w:val="both"/>
    </w:pPr>
    <w:rPr>
      <w:rFonts w:ascii="ISOCPEUR" w:hAnsi="ISOCPEUR" w:eastAsia="Times New Roman" w:cs="Times New Roman"/>
      <w:i/>
      <w:color w:val="auto"/>
      <w:kern w:val="0"/>
      <w:sz w:val="28"/>
      <w:szCs w:val="20"/>
      <w:lang w:val="uk-UA" w:eastAsia="ru-RU" w:bidi="ar-SA"/>
    </w:rPr>
  </w:style>
  <w:style w:type="paragraph" w:styleId="Annotationtext">
    <w:name w:val="annotation text"/>
    <w:basedOn w:val="Normal"/>
    <w:link w:val="afff7"/>
    <w:qFormat/>
    <w:rsid w:val="00e44471"/>
    <w:pPr>
      <w:spacing w:lineRule="auto" w:line="360" w:before="0" w:after="0"/>
      <w:ind w:firstLine="567"/>
    </w:pPr>
    <w:rPr>
      <w:rFonts w:ascii="Times New Roman" w:hAnsi="Times New Roman" w:eastAsia="Times New Roman" w:cs="Times New Roman"/>
      <w:sz w:val="20"/>
      <w:szCs w:val="20"/>
    </w:rPr>
  </w:style>
  <w:style w:type="paragraph" w:styleId="Annotationsubject">
    <w:name w:val="annotation subject"/>
    <w:basedOn w:val="Annotationtext"/>
    <w:next w:val="Annotationtext"/>
    <w:link w:val="afff9"/>
    <w:qFormat/>
    <w:rsid w:val="00e44471"/>
    <w:pPr/>
    <w:rPr>
      <w:b/>
      <w:bCs/>
    </w:rPr>
  </w:style>
  <w:style w:type="paragraph" w:styleId="Geonika11" w:customStyle="1">
    <w:name w:val="Geonika Заголовок 1"/>
    <w:basedOn w:val="1"/>
    <w:link w:val="Geonika10"/>
    <w:qFormat/>
    <w:rsid w:val="00e44471"/>
    <w:pPr>
      <w:keepNext w:val="false"/>
      <w:keepLines w:val="false"/>
      <w:pBdr>
        <w:top w:val="single" w:sz="24" w:space="0" w:color="244061"/>
        <w:left w:val="single" w:sz="24" w:space="0" w:color="244061"/>
        <w:bottom w:val="single" w:sz="24" w:space="0" w:color="244061"/>
        <w:right w:val="single" w:sz="24" w:space="0" w:color="244061"/>
      </w:pBdr>
      <w:shd w:val="clear" w:color="auto" w:fill="244061"/>
      <w:spacing w:before="200" w:after="0"/>
    </w:pPr>
    <w:rPr>
      <w:rFonts w:ascii="Calibri" w:hAnsi="Calibri" w:eastAsia="Times New Roman" w:cs="Times New Roman"/>
      <w:caps/>
      <w:color w:val="FFFFFF"/>
      <w:spacing w:val="15"/>
      <w:szCs w:val="24"/>
      <w:lang w:eastAsia="en-US" w:bidi="en-US"/>
    </w:rPr>
  </w:style>
  <w:style w:type="paragraph" w:styleId="Geonika5" w:customStyle="1">
    <w:name w:val="Geonika Текст в таблице"/>
    <w:basedOn w:val="Normal"/>
    <w:link w:val="Geonika0"/>
    <w:qFormat/>
    <w:rsid w:val="00e44471"/>
    <w:pPr>
      <w:spacing w:lineRule="auto" w:line="240" w:before="120" w:after="60"/>
      <w:jc w:val="center"/>
    </w:pPr>
    <w:rPr>
      <w:rFonts w:ascii="Calibri" w:hAnsi="Calibri" w:eastAsia="Times New Roman" w:cs="Times New Roman"/>
      <w:sz w:val="24"/>
      <w:szCs w:val="24"/>
      <w:lang w:eastAsia="ar-SA" w:bidi="en-US"/>
    </w:rPr>
  </w:style>
  <w:style w:type="paragraph" w:styleId="Geonika21" w:customStyle="1">
    <w:name w:val="Geonika Заголовок 2"/>
    <w:basedOn w:val="2"/>
    <w:link w:val="Geonika20"/>
    <w:qFormat/>
    <w:rsid w:val="00e44471"/>
    <w:pPr>
      <w:keepNext w:val="false"/>
      <w:keepLines w:val="false"/>
      <w:pBdr>
        <w:top w:val="single" w:sz="24" w:space="0" w:color="365F91"/>
        <w:left w:val="single" w:sz="24" w:space="0" w:color="365F91"/>
        <w:bottom w:val="single" w:sz="24" w:space="0" w:color="365F91"/>
        <w:right w:val="single" w:sz="24" w:space="0" w:color="365F91"/>
      </w:pBdr>
      <w:shd w:val="clear" w:color="auto" w:fill="365F91"/>
    </w:pPr>
    <w:rPr>
      <w:rFonts w:ascii="Calibri" w:hAnsi="Calibri" w:eastAsia="Times New Roman" w:cs="Times New Roman"/>
      <w:bCs w:val="false"/>
      <w:caps/>
      <w:color w:val="FFFFFF"/>
      <w:spacing w:val="15"/>
      <w:sz w:val="24"/>
      <w:szCs w:val="24"/>
      <w:lang w:eastAsia="en-US" w:bidi="en-US"/>
    </w:rPr>
  </w:style>
  <w:style w:type="paragraph" w:styleId="Geonika6" w:customStyle="1">
    <w:name w:val="Geonika Обычный текст"/>
    <w:basedOn w:val="S6"/>
    <w:link w:val="Geonika4"/>
    <w:qFormat/>
    <w:rsid w:val="00e44471"/>
    <w:pPr>
      <w:spacing w:lineRule="auto" w:line="276" w:before="120" w:after="60"/>
      <w:ind w:firstLine="567"/>
    </w:pPr>
    <w:rPr>
      <w:rFonts w:ascii="Calibri" w:hAnsi="Calibri"/>
      <w:lang w:eastAsia="ar-SA" w:bidi="en-US"/>
    </w:rPr>
  </w:style>
  <w:style w:type="paragraph" w:styleId="Style53" w:customStyle="1">
    <w:name w:val="ООО  «Институт Территориального Планирования"/>
    <w:basedOn w:val="Normal"/>
    <w:link w:val="afffb"/>
    <w:qFormat/>
    <w:rsid w:val="00e44471"/>
    <w:pPr>
      <w:spacing w:lineRule="auto" w:line="360" w:before="200" w:after="200"/>
      <w:ind w:left="709" w:hanging="0"/>
      <w:jc w:val="right"/>
    </w:pPr>
    <w:rPr>
      <w:rFonts w:ascii="Calibri" w:hAnsi="Calibri" w:eastAsia="Times New Roman" w:cs="Times New Roman"/>
      <w:sz w:val="20"/>
      <w:szCs w:val="20"/>
      <w:lang w:val="en-US" w:eastAsia="en-US" w:bidi="en-US"/>
    </w:rPr>
  </w:style>
  <w:style w:type="paragraph" w:styleId="Geonika32" w:customStyle="1">
    <w:name w:val="Geonika Заголовок 3"/>
    <w:basedOn w:val="S6"/>
    <w:link w:val="Geonika31"/>
    <w:qFormat/>
    <w:rsid w:val="00e44471"/>
    <w:pPr>
      <w:shd w:val="clear" w:color="auto" w:fill="95B3D7"/>
      <w:spacing w:lineRule="auto" w:line="276" w:before="120" w:after="60"/>
      <w:ind w:firstLine="57"/>
    </w:pPr>
    <w:rPr>
      <w:b/>
      <w:caps/>
      <w:color w:val="FFFFFF"/>
      <w:lang w:eastAsia="ar-SA" w:bidi="en-US"/>
    </w:rPr>
  </w:style>
  <w:style w:type="paragraph" w:styleId="Geonika7" w:customStyle="1">
    <w:name w:val="Geonika Подзаголовк"/>
    <w:basedOn w:val="Geonika6"/>
    <w:link w:val="Geonika6"/>
    <w:qFormat/>
    <w:rsid w:val="00e44471"/>
    <w:pPr/>
    <w:rPr>
      <w:b/>
    </w:rPr>
  </w:style>
  <w:style w:type="paragraph" w:styleId="Char" w:customStyle="1">
    <w:name w:val="Char Знак"/>
    <w:basedOn w:val="Normal"/>
    <w:qFormat/>
    <w:rsid w:val="00e44471"/>
    <w:pPr>
      <w:spacing w:lineRule="auto" w:line="240" w:beforeAutospacing="1" w:afterAutospacing="1"/>
    </w:pPr>
    <w:rPr>
      <w:rFonts w:ascii="Tahoma" w:hAnsi="Tahoma" w:eastAsia="Times New Roman" w:cs="Times New Roman"/>
      <w:sz w:val="20"/>
      <w:szCs w:val="20"/>
      <w:lang w:val="en-US" w:eastAsia="en-US"/>
    </w:rPr>
  </w:style>
  <w:style w:type="paragraph" w:styleId="213" w:customStyle="1">
    <w:name w:val="Заголовок2"/>
    <w:basedOn w:val="Normal"/>
    <w:next w:val="Normal"/>
    <w:autoRedefine/>
    <w:qFormat/>
    <w:rsid w:val="00e44471"/>
    <w:pPr>
      <w:overflowPunct w:val="true"/>
      <w:spacing w:lineRule="auto" w:line="240" w:before="0" w:after="0"/>
      <w:ind w:left="109" w:hanging="0"/>
      <w:jc w:val="center"/>
      <w:textAlignment w:val="baseline"/>
    </w:pPr>
    <w:rPr>
      <w:rFonts w:ascii="Times New Roman" w:hAnsi="Times New Roman" w:eastAsia="Times New Roman" w:cs="Times New Roman"/>
      <w:sz w:val="28"/>
      <w:szCs w:val="28"/>
    </w:rPr>
  </w:style>
  <w:style w:type="paragraph" w:styleId="118" w:customStyle="1">
    <w:name w:val="Обычный 1"/>
    <w:basedOn w:val="Normal"/>
    <w:qFormat/>
    <w:rsid w:val="00e44471"/>
    <w:pPr>
      <w:spacing w:lineRule="auto" w:line="240" w:before="0" w:after="0"/>
      <w:ind w:firstLine="720"/>
      <w:jc w:val="both"/>
    </w:pPr>
    <w:rPr>
      <w:rFonts w:ascii="Arial" w:hAnsi="Arial" w:eastAsia="Times New Roman" w:cs="Times New Roman"/>
      <w:sz w:val="24"/>
      <w:szCs w:val="20"/>
    </w:rPr>
  </w:style>
  <w:style w:type="paragraph" w:styleId="214" w:customStyle="1">
    <w:name w:val="Обычный2"/>
    <w:qFormat/>
    <w:rsid w:val="00e44471"/>
    <w:pPr>
      <w:widowControl/>
      <w:bidi w:val="0"/>
      <w:snapToGrid w:val="false"/>
      <w:spacing w:lineRule="auto" w:line="240" w:before="0" w:after="0"/>
      <w:jc w:val="left"/>
    </w:pPr>
    <w:rPr>
      <w:rFonts w:ascii="Times New Roman" w:hAnsi="Times New Roman" w:eastAsia="Times New Roman" w:cs="Times New Roman"/>
      <w:color w:val="auto"/>
      <w:kern w:val="0"/>
      <w:sz w:val="22"/>
      <w:szCs w:val="20"/>
      <w:lang w:val="ru-RU" w:eastAsia="ru-RU" w:bidi="ar-SA"/>
    </w:rPr>
  </w:style>
  <w:style w:type="paragraph" w:styleId="Normal100221" w:customStyle="1">
    <w:name w:val="Стиль Normal + 10 пт полужирный По центру Слева:  -02 см Справ...2"/>
    <w:basedOn w:val="214"/>
    <w:link w:val="Normal10-0220"/>
    <w:qFormat/>
    <w:rsid w:val="00e44471"/>
    <w:pPr>
      <w:ind w:left="-113" w:right="-113" w:hanging="0"/>
      <w:jc w:val="center"/>
    </w:pPr>
    <w:rPr>
      <w:b/>
      <w:bCs/>
      <w:sz w:val="20"/>
    </w:rPr>
  </w:style>
  <w:style w:type="paragraph" w:styleId="215" w:customStyle="1">
    <w:name w:val="Основной текст 21"/>
    <w:basedOn w:val="Normal"/>
    <w:qFormat/>
    <w:rsid w:val="00e44471"/>
    <w:pPr>
      <w:overflowPunct w:val="true"/>
      <w:spacing w:lineRule="auto" w:line="240" w:before="0" w:after="0"/>
      <w:ind w:firstLine="709"/>
      <w:jc w:val="both"/>
      <w:textAlignment w:val="baseline"/>
    </w:pPr>
    <w:rPr>
      <w:rFonts w:ascii="Times New Roman" w:hAnsi="Times New Roman" w:eastAsia="Times New Roman" w:cs="Times New Roman"/>
      <w:sz w:val="28"/>
      <w:szCs w:val="20"/>
    </w:rPr>
  </w:style>
  <w:style w:type="paragraph" w:styleId="39" w:customStyle="1">
    <w:name w:val="Стиль3"/>
    <w:basedOn w:val="Normal"/>
    <w:autoRedefine/>
    <w:qFormat/>
    <w:rsid w:val="00e44471"/>
    <w:pPr>
      <w:spacing w:lineRule="auto" w:line="240" w:before="0" w:after="0"/>
      <w:ind w:right="-61" w:firstLine="720"/>
      <w:jc w:val="both"/>
    </w:pPr>
    <w:rPr>
      <w:rFonts w:ascii="Times New Roman" w:hAnsi="Times New Roman" w:eastAsia="Times New Roman" w:cs="Times New Roman"/>
      <w:bCs/>
      <w:i/>
      <w:sz w:val="28"/>
      <w:szCs w:val="28"/>
    </w:rPr>
  </w:style>
  <w:style w:type="paragraph" w:styleId="216" w:customStyle="1">
    <w:name w:val="Абзац списка2"/>
    <w:basedOn w:val="Normal"/>
    <w:qFormat/>
    <w:rsid w:val="00e44471"/>
    <w:pPr>
      <w:spacing w:lineRule="auto" w:line="240" w:before="0" w:after="0"/>
      <w:ind w:left="720" w:hanging="0"/>
      <w:contextualSpacing/>
    </w:pPr>
    <w:rPr>
      <w:rFonts w:ascii="Times New Roman" w:hAnsi="Times New Roman" w:eastAsia="Calibri" w:cs="Times New Roman"/>
      <w:sz w:val="24"/>
      <w:szCs w:val="24"/>
    </w:rPr>
  </w:style>
  <w:style w:type="paragraph" w:styleId="151" w:customStyle="1">
    <w:name w:val="Знак15"/>
    <w:basedOn w:val="Normal"/>
    <w:next w:val="Normal"/>
    <w:link w:val="afffe"/>
    <w:qFormat/>
    <w:rsid w:val="00e44471"/>
    <w:pPr>
      <w:spacing w:lineRule="auto" w:line="360" w:before="240" w:after="60"/>
      <w:ind w:firstLine="567"/>
      <w:jc w:val="center"/>
      <w:outlineLvl w:val="0"/>
    </w:pPr>
    <w:rPr>
      <w:rFonts w:ascii="Cambria" w:hAnsi="Cambria" w:eastAsia="Times New Roman" w:cs="Times New Roman"/>
      <w:b/>
      <w:bCs/>
      <w:kern w:val="2"/>
      <w:sz w:val="32"/>
      <w:szCs w:val="32"/>
    </w:rPr>
  </w:style>
  <w:style w:type="paragraph" w:styleId="Style210" w:customStyle="1">
    <w:name w:val="Style2"/>
    <w:basedOn w:val="Normal"/>
    <w:qFormat/>
    <w:rsid w:val="00e44471"/>
    <w:pPr>
      <w:widowControl w:val="false"/>
      <w:spacing w:lineRule="exact" w:line="410" w:before="0" w:after="0"/>
      <w:ind w:firstLine="468"/>
      <w:jc w:val="both"/>
    </w:pPr>
    <w:rPr>
      <w:rFonts w:ascii="MS Reference Sans Serif" w:hAnsi="MS Reference Sans Serif" w:eastAsia="Times New Roman" w:cs="Times New Roman"/>
      <w:sz w:val="24"/>
      <w:szCs w:val="24"/>
    </w:rPr>
  </w:style>
  <w:style w:type="paragraph" w:styleId="Style310" w:customStyle="1">
    <w:name w:val="Style3"/>
    <w:basedOn w:val="Normal"/>
    <w:qFormat/>
    <w:rsid w:val="00e44471"/>
    <w:pPr>
      <w:widowControl w:val="false"/>
      <w:spacing w:lineRule="exact" w:line="410" w:before="0" w:after="0"/>
      <w:jc w:val="center"/>
    </w:pPr>
    <w:rPr>
      <w:rFonts w:ascii="MS Reference Sans Serif" w:hAnsi="MS Reference Sans Serif" w:eastAsia="Times New Roman" w:cs="Times New Roman"/>
      <w:sz w:val="24"/>
      <w:szCs w:val="24"/>
    </w:rPr>
  </w:style>
  <w:style w:type="paragraph" w:styleId="Style54" w:customStyle="1">
    <w:name w:val="Style5"/>
    <w:basedOn w:val="Normal"/>
    <w:qFormat/>
    <w:rsid w:val="00e44471"/>
    <w:pPr>
      <w:widowControl w:val="false"/>
      <w:spacing w:lineRule="exact" w:line="410" w:before="0" w:after="0"/>
      <w:ind w:hanging="331"/>
      <w:jc w:val="center"/>
    </w:pPr>
    <w:rPr>
      <w:rFonts w:ascii="MS Reference Sans Serif" w:hAnsi="MS Reference Sans Serif" w:eastAsia="Times New Roman" w:cs="Times New Roman"/>
      <w:sz w:val="24"/>
      <w:szCs w:val="24"/>
    </w:rPr>
  </w:style>
  <w:style w:type="paragraph" w:styleId="Style61" w:customStyle="1">
    <w:name w:val="Style6"/>
    <w:basedOn w:val="Normal"/>
    <w:qFormat/>
    <w:rsid w:val="00e44471"/>
    <w:pPr>
      <w:widowControl w:val="false"/>
      <w:spacing w:lineRule="exact" w:line="410" w:before="0" w:after="0"/>
      <w:jc w:val="center"/>
    </w:pPr>
    <w:rPr>
      <w:rFonts w:ascii="MS Reference Sans Serif" w:hAnsi="MS Reference Sans Serif" w:eastAsia="Times New Roman" w:cs="Times New Roman"/>
      <w:sz w:val="24"/>
      <w:szCs w:val="24"/>
    </w:rPr>
  </w:style>
  <w:style w:type="paragraph" w:styleId="Style131" w:customStyle="1">
    <w:name w:val="Style13"/>
    <w:basedOn w:val="Normal"/>
    <w:qFormat/>
    <w:rsid w:val="00e44471"/>
    <w:pPr>
      <w:widowControl w:val="false"/>
      <w:spacing w:lineRule="exact" w:line="277" w:before="0" w:after="0"/>
      <w:jc w:val="center"/>
    </w:pPr>
    <w:rPr>
      <w:rFonts w:ascii="MS Reference Sans Serif" w:hAnsi="MS Reference Sans Serif" w:eastAsia="Times New Roman" w:cs="Times New Roman"/>
      <w:sz w:val="24"/>
      <w:szCs w:val="24"/>
    </w:rPr>
  </w:style>
  <w:style w:type="paragraph" w:styleId="Style121" w:customStyle="1">
    <w:name w:val="Style12"/>
    <w:basedOn w:val="Normal"/>
    <w:qFormat/>
    <w:rsid w:val="00e44471"/>
    <w:pPr>
      <w:widowControl w:val="false"/>
      <w:spacing w:lineRule="exact" w:line="281" w:before="0" w:after="0"/>
      <w:ind w:hanging="94"/>
      <w:jc w:val="both"/>
    </w:pPr>
    <w:rPr>
      <w:rFonts w:ascii="MS Reference Sans Serif" w:hAnsi="MS Reference Sans Serif" w:eastAsia="Times New Roman" w:cs="Times New Roman"/>
      <w:sz w:val="24"/>
      <w:szCs w:val="24"/>
    </w:rPr>
  </w:style>
  <w:style w:type="paragraph" w:styleId="Style91" w:customStyle="1">
    <w:name w:val="Style9"/>
    <w:basedOn w:val="Normal"/>
    <w:qFormat/>
    <w:rsid w:val="00e44471"/>
    <w:pPr>
      <w:widowControl w:val="false"/>
      <w:spacing w:lineRule="exact" w:line="238" w:before="0" w:after="0"/>
      <w:jc w:val="center"/>
    </w:pPr>
    <w:rPr>
      <w:rFonts w:ascii="MS Reference Sans Serif" w:hAnsi="MS Reference Sans Serif" w:eastAsia="Times New Roman" w:cs="Times New Roman"/>
      <w:sz w:val="24"/>
      <w:szCs w:val="24"/>
    </w:rPr>
  </w:style>
  <w:style w:type="paragraph" w:styleId="Style101" w:customStyle="1">
    <w:name w:val="Style10"/>
    <w:basedOn w:val="Normal"/>
    <w:qFormat/>
    <w:rsid w:val="00e44471"/>
    <w:pPr>
      <w:widowControl w:val="false"/>
      <w:spacing w:lineRule="auto" w:line="240" w:before="0" w:after="0"/>
      <w:jc w:val="center"/>
    </w:pPr>
    <w:rPr>
      <w:rFonts w:ascii="Garamond" w:hAnsi="Garamond" w:eastAsia="Times New Roman" w:cs="Times New Roman"/>
      <w:sz w:val="24"/>
      <w:szCs w:val="24"/>
    </w:rPr>
  </w:style>
  <w:style w:type="paragraph" w:styleId="S8" w:customStyle="1">
    <w:name w:val="S_Титульный"/>
    <w:basedOn w:val="Normal"/>
    <w:qFormat/>
    <w:rsid w:val="00e44471"/>
    <w:pPr>
      <w:spacing w:lineRule="auto" w:line="360" w:before="0" w:after="0"/>
      <w:ind w:left="3060" w:hanging="0"/>
      <w:jc w:val="right"/>
    </w:pPr>
    <w:rPr>
      <w:rFonts w:ascii="Times New Roman" w:hAnsi="Times New Roman" w:eastAsia="Times New Roman" w:cs="Times New Roman"/>
      <w:b/>
      <w:caps/>
      <w:sz w:val="24"/>
      <w:szCs w:val="24"/>
    </w:rPr>
  </w:style>
  <w:style w:type="paragraph" w:styleId="Style55" w:customStyle="1">
    <w:name w:val="Таблица"/>
    <w:basedOn w:val="Normal"/>
    <w:qFormat/>
    <w:rsid w:val="00e44471"/>
    <w:pPr>
      <w:spacing w:lineRule="auto" w:line="240" w:before="0" w:after="0"/>
      <w:jc w:val="both"/>
    </w:pPr>
    <w:rPr>
      <w:rFonts w:ascii="Times New Roman" w:hAnsi="Times New Roman" w:eastAsia="Times New Roman" w:cs="Times New Roman"/>
      <w:sz w:val="24"/>
      <w:szCs w:val="24"/>
    </w:rPr>
  </w:style>
  <w:style w:type="paragraph" w:styleId="Style56" w:customStyle="1">
    <w:name w:val="Заголовок таблици"/>
    <w:basedOn w:val="Normal"/>
    <w:semiHidden/>
    <w:qFormat/>
    <w:rsid w:val="00e44471"/>
    <w:pPr>
      <w:spacing w:lineRule="auto" w:line="240" w:before="0" w:after="0"/>
      <w:ind w:firstLine="540"/>
      <w:jc w:val="both"/>
    </w:pPr>
    <w:rPr>
      <w:rFonts w:ascii="Times New Roman" w:hAnsi="Times New Roman" w:eastAsia="Times New Roman" w:cs="Times New Roman"/>
      <w:sz w:val="24"/>
      <w:szCs w:val="24"/>
    </w:rPr>
  </w:style>
  <w:style w:type="paragraph" w:styleId="Style57" w:customStyle="1">
    <w:name w:val="Обычный в таблице"/>
    <w:basedOn w:val="Normal"/>
    <w:link w:val="affff4"/>
    <w:qFormat/>
    <w:rsid w:val="00e44471"/>
    <w:pPr>
      <w:spacing w:lineRule="auto" w:line="360" w:before="0" w:after="0"/>
      <w:ind w:hanging="6"/>
      <w:jc w:val="center"/>
    </w:pPr>
    <w:rPr>
      <w:rFonts w:ascii="Times New Roman" w:hAnsi="Times New Roman" w:eastAsia="Times New Roman" w:cs="Times New Roman"/>
      <w:sz w:val="24"/>
      <w:szCs w:val="24"/>
    </w:rPr>
  </w:style>
  <w:style w:type="paragraph" w:styleId="Style58" w:customStyle="1">
    <w:name w:val="Заголовок таблицы"/>
    <w:basedOn w:val="Normal"/>
    <w:semiHidden/>
    <w:qFormat/>
    <w:rsid w:val="00e44471"/>
    <w:pPr>
      <w:spacing w:lineRule="auto" w:line="360" w:before="60" w:after="0"/>
      <w:ind w:firstLine="709"/>
      <w:jc w:val="center"/>
    </w:pPr>
    <w:rPr>
      <w:rFonts w:ascii="Arial Black" w:hAnsi="Arial Black" w:eastAsia="Times New Roman" w:cs="Arial Black"/>
      <w:spacing w:val="-5"/>
      <w:sz w:val="16"/>
      <w:szCs w:val="16"/>
      <w:lang w:eastAsia="en-US"/>
    </w:rPr>
  </w:style>
  <w:style w:type="paragraph" w:styleId="Style59" w:customStyle="1">
    <w:name w:val="Абзац рядовой"/>
    <w:basedOn w:val="Normal"/>
    <w:link w:val="affff7"/>
    <w:autoRedefine/>
    <w:qFormat/>
    <w:rsid w:val="00e44471"/>
    <w:pPr>
      <w:spacing w:lineRule="auto" w:line="240" w:before="0" w:after="0"/>
      <w:jc w:val="both"/>
    </w:pPr>
    <w:rPr>
      <w:rFonts w:ascii="Times New Roman" w:hAnsi="Times New Roman" w:eastAsia="Times New Roman" w:cs="Times New Roman"/>
      <w:sz w:val="28"/>
      <w:szCs w:val="28"/>
    </w:rPr>
  </w:style>
  <w:style w:type="paragraph" w:styleId="ConsNormal" w:customStyle="1">
    <w:name w:val="ConsNormal"/>
    <w:qFormat/>
    <w:rsid w:val="00e44471"/>
    <w:pPr>
      <w:widowControl w:val="false"/>
      <w:suppressAutoHyphens w:val="true"/>
      <w:bidi w:val="0"/>
      <w:spacing w:lineRule="auto" w:line="240" w:before="0" w:after="0"/>
      <w:ind w:firstLine="720"/>
      <w:jc w:val="left"/>
    </w:pPr>
    <w:rPr>
      <w:rFonts w:ascii="Arial" w:hAnsi="Arial" w:eastAsia="Arial" w:cs="Arial"/>
      <w:color w:val="auto"/>
      <w:kern w:val="0"/>
      <w:sz w:val="20"/>
      <w:szCs w:val="20"/>
      <w:lang w:eastAsia="ar-SA" w:val="ru-RU" w:bidi="ar-SA"/>
    </w:rPr>
  </w:style>
  <w:style w:type="paragraph" w:styleId="217" w:customStyle="1">
    <w:name w:val="Знак21"/>
    <w:basedOn w:val="Normal"/>
    <w:qFormat/>
    <w:rsid w:val="00e44471"/>
    <w:pPr>
      <w:spacing w:lineRule="exact" w:line="240" w:before="0" w:after="160"/>
    </w:pPr>
    <w:rPr>
      <w:rFonts w:ascii="Verdana" w:hAnsi="Verdana" w:eastAsia="Times New Roman" w:cs="Times New Roman"/>
      <w:sz w:val="20"/>
      <w:szCs w:val="20"/>
      <w:lang w:val="en-US" w:eastAsia="en-US"/>
    </w:rPr>
  </w:style>
  <w:style w:type="paragraph" w:styleId="119" w:customStyle="1">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Normal"/>
    <w:qFormat/>
    <w:rsid w:val="00e44471"/>
    <w:pPr>
      <w:widowControl w:val="false"/>
      <w:spacing w:lineRule="exact" w:line="240" w:before="0" w:after="160"/>
      <w:jc w:val="right"/>
    </w:pPr>
    <w:rPr>
      <w:rFonts w:ascii="Times New Roman" w:hAnsi="Times New Roman" w:eastAsia="Times New Roman" w:cs="Times New Roman"/>
      <w:sz w:val="20"/>
      <w:szCs w:val="20"/>
      <w:lang w:val="en-GB" w:eastAsia="en-US"/>
    </w:rPr>
  </w:style>
  <w:style w:type="paragraph" w:styleId="1110" w:customStyle="1">
    <w:name w:val="Знак1 Знак Знак Знак1"/>
    <w:basedOn w:val="Normal"/>
    <w:qFormat/>
    <w:rsid w:val="00e44471"/>
    <w:pPr>
      <w:spacing w:lineRule="auto" w:line="240" w:beforeAutospacing="1" w:afterAutospacing="1"/>
    </w:pPr>
    <w:rPr>
      <w:rFonts w:ascii="Tahoma" w:hAnsi="Tahoma" w:eastAsia="Times New Roman" w:cs="Times New Roman"/>
      <w:sz w:val="20"/>
      <w:szCs w:val="20"/>
      <w:lang w:val="en-US" w:eastAsia="en-US"/>
    </w:rPr>
  </w:style>
  <w:style w:type="paragraph" w:styleId="S9" w:customStyle="1">
    <w:name w:val="S_Обычный в таблице"/>
    <w:basedOn w:val="Normal"/>
    <w:qFormat/>
    <w:rsid w:val="00e44471"/>
    <w:pPr>
      <w:suppressAutoHyphens w:val="true"/>
      <w:spacing w:lineRule="auto" w:line="240" w:before="0" w:after="0"/>
      <w:jc w:val="center"/>
    </w:pPr>
    <w:rPr>
      <w:rFonts w:ascii="Times New Roman" w:hAnsi="Times New Roman" w:eastAsia="Times New Roman" w:cs="Times New Roman"/>
      <w:sz w:val="20"/>
      <w:szCs w:val="24"/>
      <w:lang w:eastAsia="ar-SA"/>
    </w:rPr>
  </w:style>
  <w:style w:type="paragraph" w:styleId="S10" w:customStyle="1">
    <w:name w:val="S_Таблица"/>
    <w:basedOn w:val="Normal"/>
    <w:qFormat/>
    <w:rsid w:val="00e44471"/>
    <w:pPr>
      <w:suppressAutoHyphens w:val="true"/>
      <w:spacing w:lineRule="auto" w:line="240" w:before="0" w:after="0"/>
      <w:ind w:left="0" w:hanging="0"/>
      <w:jc w:val="right"/>
    </w:pPr>
    <w:rPr>
      <w:rFonts w:ascii="Times New Roman" w:hAnsi="Times New Roman" w:eastAsia="Times New Roman" w:cs="Times New Roman"/>
      <w:sz w:val="24"/>
      <w:szCs w:val="24"/>
      <w:lang w:eastAsia="ar-SA"/>
    </w:rPr>
  </w:style>
  <w:style w:type="paragraph" w:styleId="S13" w:customStyle="1">
    <w:name w:val="S_Заголовок таблицы"/>
    <w:basedOn w:val="Normal"/>
    <w:qFormat/>
    <w:rsid w:val="00e44471"/>
    <w:pPr>
      <w:suppressAutoHyphens w:val="true"/>
      <w:spacing w:lineRule="auto" w:line="240" w:before="0" w:after="0"/>
      <w:jc w:val="center"/>
    </w:pPr>
    <w:rPr>
      <w:rFonts w:ascii="Times New Roman" w:hAnsi="Times New Roman" w:eastAsia="Times New Roman" w:cs="Times New Roman"/>
      <w:sz w:val="24"/>
      <w:szCs w:val="24"/>
      <w:u w:val="single"/>
      <w:lang w:eastAsia="ar-SA"/>
    </w:rPr>
  </w:style>
  <w:style w:type="paragraph" w:styleId="U" w:customStyle="1">
    <w:name w:val="u"/>
    <w:basedOn w:val="Normal"/>
    <w:qFormat/>
    <w:rsid w:val="00e44471"/>
    <w:pPr>
      <w:spacing w:lineRule="auto" w:line="240" w:before="0" w:after="0"/>
      <w:ind w:firstLine="260"/>
      <w:jc w:val="both"/>
    </w:pPr>
    <w:rPr>
      <w:rFonts w:ascii="Times New Roman" w:hAnsi="Times New Roman" w:eastAsia="Times New Roman" w:cs="Times New Roman"/>
      <w:sz w:val="24"/>
      <w:szCs w:val="24"/>
    </w:rPr>
  </w:style>
  <w:style w:type="paragraph" w:styleId="46" w:customStyle="1">
    <w:name w:val="Стиль4"/>
    <w:basedOn w:val="Normal"/>
    <w:autoRedefine/>
    <w:qFormat/>
    <w:rsid w:val="00e44471"/>
    <w:pPr>
      <w:spacing w:lineRule="auto" w:line="240" w:before="0" w:after="0"/>
      <w:ind w:right="-59" w:hanging="0"/>
      <w:jc w:val="center"/>
    </w:pPr>
    <w:rPr>
      <w:rFonts w:ascii="Times New Roman" w:hAnsi="Times New Roman" w:eastAsia="Calibri" w:cs="Times New Roman"/>
      <w:sz w:val="28"/>
      <w:szCs w:val="28"/>
    </w:rPr>
  </w:style>
  <w:style w:type="paragraph" w:styleId="92" w:customStyle="1">
    <w:name w:val="заголовок 9"/>
    <w:basedOn w:val="Normal"/>
    <w:next w:val="Normal"/>
    <w:qFormat/>
    <w:rsid w:val="00e44471"/>
    <w:pPr>
      <w:keepNext w:val="true"/>
      <w:spacing w:lineRule="auto" w:line="240" w:before="0" w:after="0"/>
      <w:jc w:val="both"/>
      <w:outlineLvl w:val="8"/>
    </w:pPr>
    <w:rPr>
      <w:rFonts w:ascii="Times New Roman" w:hAnsi="Times New Roman" w:eastAsia="Times New Roman" w:cs="Times New Roman"/>
      <w:sz w:val="24"/>
      <w:szCs w:val="24"/>
    </w:rPr>
  </w:style>
  <w:style w:type="paragraph" w:styleId="218" w:customStyle="1">
    <w:name w:val="Без интервала2"/>
    <w:qFormat/>
    <w:rsid w:val="00e44471"/>
    <w:pPr>
      <w:widowControl/>
      <w:overflowPunct w:val="true"/>
      <w:bidi w:val="0"/>
      <w:spacing w:lineRule="auto" w:line="360" w:before="0" w:after="0"/>
      <w:ind w:firstLine="709"/>
      <w:jc w:val="both"/>
      <w:textAlignment w:val="baseline"/>
    </w:pPr>
    <w:rPr>
      <w:rFonts w:ascii="Times New Roman" w:hAnsi="Times New Roman" w:eastAsia="Calibri" w:cs="Times New Roman"/>
      <w:color w:val="auto"/>
      <w:kern w:val="0"/>
      <w:sz w:val="28"/>
      <w:szCs w:val="20"/>
      <w:lang w:val="ru-RU" w:eastAsia="ru-RU" w:bidi="ar-SA"/>
    </w:rPr>
  </w:style>
  <w:style w:type="paragraph" w:styleId="ConsPlusNonformat" w:customStyle="1">
    <w:name w:val="ConsPlusNonformat"/>
    <w:qFormat/>
    <w:rsid w:val="00e44471"/>
    <w:pPr>
      <w:widowControl w:val="false"/>
      <w:bidi w:val="0"/>
      <w:spacing w:lineRule="auto" w:line="240" w:before="0" w:after="0"/>
      <w:jc w:val="left"/>
    </w:pPr>
    <w:rPr>
      <w:rFonts w:ascii="Courier New" w:hAnsi="Courier New" w:eastAsia="Times New Roman" w:cs="Times New Roman"/>
      <w:color w:val="auto"/>
      <w:kern w:val="0"/>
      <w:sz w:val="20"/>
      <w:szCs w:val="20"/>
      <w:lang w:val="ru-RU" w:eastAsia="ru-RU" w:bidi="ar-SA"/>
    </w:rPr>
  </w:style>
  <w:style w:type="paragraph" w:styleId="Style60" w:customStyle="1">
    <w:name w:val="Основа"/>
    <w:basedOn w:val="Normal"/>
    <w:qFormat/>
    <w:rsid w:val="00e44471"/>
    <w:pPr>
      <w:spacing w:lineRule="auto" w:line="240" w:before="120" w:after="60"/>
      <w:ind w:firstLine="720"/>
      <w:jc w:val="both"/>
    </w:pPr>
    <w:rPr>
      <w:rFonts w:ascii="Times New Roman" w:hAnsi="Times New Roman" w:eastAsia="Times New Roman" w:cs="Times New Roman"/>
      <w:sz w:val="24"/>
      <w:szCs w:val="20"/>
      <w:lang w:eastAsia="ar-SA"/>
    </w:rPr>
  </w:style>
  <w:style w:type="paragraph" w:styleId="TableParagraph" w:customStyle="1">
    <w:name w:val="Table Paragraph"/>
    <w:basedOn w:val="Normal"/>
    <w:uiPriority w:val="1"/>
    <w:qFormat/>
    <w:rsid w:val="00e44471"/>
    <w:pPr>
      <w:widowControl w:val="false"/>
      <w:spacing w:lineRule="auto" w:line="240" w:before="0" w:after="0"/>
    </w:pPr>
    <w:rPr>
      <w:rFonts w:ascii="Times New Roman" w:hAnsi="Times New Roman" w:eastAsia="Times New Roman" w:cs="Times New Roman"/>
      <w:lang w:eastAsia="en-US"/>
    </w:rPr>
  </w:style>
  <w:style w:type="paragraph" w:styleId="AAA1" w:customStyle="1">
    <w:name w:val="! AAA !"/>
    <w:link w:val="AAA"/>
    <w:uiPriority w:val="99"/>
    <w:qFormat/>
    <w:rsid w:val="00fc3a16"/>
    <w:pPr>
      <w:widowControl/>
      <w:bidi w:val="0"/>
      <w:spacing w:lineRule="auto" w:line="240" w:before="0" w:after="120"/>
      <w:jc w:val="both"/>
    </w:pPr>
    <w:rPr>
      <w:rFonts w:ascii="Calibri" w:hAnsi="Calibri" w:eastAsia="" w:cs="" w:asciiTheme="minorHAnsi" w:cstheme="minorBidi" w:eastAsiaTheme="minorEastAsia" w:hAnsiTheme="minorHAnsi"/>
      <w:color w:val="auto"/>
      <w:kern w:val="0"/>
      <w:sz w:val="16"/>
      <w:szCs w:val="22"/>
      <w:lang w:eastAsia="en-US" w:val="ru-RU" w:bidi="ar-SA"/>
    </w:rPr>
  </w:style>
  <w:style w:type="paragraph" w:styleId="ConsPlusCell" w:customStyle="1">
    <w:name w:val="ConsPlusCell"/>
    <w:qFormat/>
    <w:rsid w:val="00055a66"/>
    <w:pPr>
      <w:widowControl/>
      <w:bidi w:val="0"/>
      <w:spacing w:lineRule="auto" w:line="240" w:before="0" w:after="0"/>
      <w:jc w:val="left"/>
    </w:pPr>
    <w:rPr>
      <w:rFonts w:ascii="Arial" w:hAnsi="Arial" w:eastAsia="Times New Roman" w:cs="Arial"/>
      <w:color w:val="auto"/>
      <w:kern w:val="0"/>
      <w:sz w:val="20"/>
      <w:szCs w:val="20"/>
      <w:lang w:val="ru-RU" w:eastAsia="ru-RU" w:bidi="ar-SA"/>
    </w:rPr>
  </w:style>
  <w:style w:type="paragraph" w:styleId="219" w:customStyle="1">
    <w:name w:val="Заг 2 Знак"/>
    <w:basedOn w:val="Normal"/>
    <w:qFormat/>
    <w:rsid w:val="00c970be"/>
    <w:pPr>
      <w:spacing w:lineRule="auto" w:line="240" w:before="240" w:after="180"/>
      <w:contextualSpacing/>
    </w:pPr>
    <w:rPr>
      <w:rFonts w:ascii="Arial" w:hAnsi="Arial" w:eastAsia="Times New Roman" w:cs="Arial"/>
      <w:b/>
      <w:caps/>
      <w:color w:val="0070C0"/>
      <w:sz w:val="24"/>
      <w:szCs w:val="28"/>
      <w14:shadow w14:blurRad="50800" w14:dist="38100" w14:dir="2700000" w14:sx="100000" w14:sy="100000" w14:kx="0" w14:ky="0" w14:algn="tl">
        <w14:srgbClr w14:val="000000">
          <w14:alpha w14:val="60000"/>
        </w14:srgbClr>
      </w14:shadow>
    </w:rPr>
  </w:style>
  <w:style w:type="paragraph" w:styleId="220" w:customStyle="1">
    <w:name w:val="Список_маркерный_2_уровень"/>
    <w:basedOn w:val="120"/>
    <w:link w:val="2f2"/>
    <w:qFormat/>
    <w:rsid w:val="00470550"/>
    <w:pPr/>
    <w:rPr/>
  </w:style>
  <w:style w:type="paragraph" w:styleId="120" w:customStyle="1">
    <w:name w:val="Список_маркерный_1_уровень"/>
    <w:qFormat/>
    <w:rsid w:val="00470550"/>
    <w:pPr>
      <w:widowControl/>
      <w:bidi w:val="0"/>
      <w:spacing w:lineRule="auto" w:line="240" w:before="60" w:after="100"/>
      <w:jc w:val="both"/>
    </w:pPr>
    <w:rPr>
      <w:rFonts w:ascii="Times New Roman" w:hAnsi="Times New Roman" w:eastAsia="Times New Roman" w:cs="Times New Roman"/>
      <w:color w:val="auto"/>
      <w:kern w:val="0"/>
      <w:sz w:val="24"/>
      <w:szCs w:val="24"/>
      <w:lang w:val="ru-RU" w:eastAsia="ru-RU" w:bidi="ar-SA"/>
    </w:rPr>
  </w:style>
  <w:style w:type="numbering" w:styleId="NoList" w:default="1">
    <w:name w:val="No List"/>
    <w:uiPriority w:val="99"/>
    <w:semiHidden/>
    <w:unhideWhenUsed/>
    <w:qFormat/>
  </w:style>
  <w:style w:type="table" w:default="1" w:styleId="a2">
    <w:name w:val="Normal Table"/>
    <w:uiPriority w:val="99"/>
    <w:semiHidden/>
    <w:unhideWhenUsed/>
    <w:tblPr>
      <w:tblInd w:w="0" w:type="dxa"/>
      <w:tblCellMar>
        <w:top w:w="0" w:type="dxa"/>
        <w:left w:w="108" w:type="dxa"/>
        <w:bottom w:w="0" w:type="dxa"/>
        <w:right w:w="108" w:type="dxa"/>
      </w:tblCellMar>
    </w:tblPr>
  </w:style>
  <w:style w:type="table" w:styleId="af5">
    <w:name w:val="Table Grid"/>
    <w:basedOn w:val="a2"/>
    <w:rsid w:val="002d463b"/>
    <w:pPr>
      <w:spacing w:after="0" w:line="240" w:lineRule="auto"/>
    </w:pPr>
    <w:rPr>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15">
    <w:name w:val="Сетка таблицы15"/>
    <w:basedOn w:val="a2"/>
    <w:uiPriority w:val="59"/>
    <w:rsid w:val="00d93cfe"/>
    <w:pPr>
      <w:spacing w:after="0" w:line="240" w:lineRule="auto"/>
    </w:pP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f1">
    <w:name w:val="Светлая заливка1"/>
    <w:basedOn w:val="a2"/>
    <w:uiPriority w:val="60"/>
    <w:rsid w:val="00e44471"/>
    <w:pPr>
      <w:spacing w:after="0" w:line="240" w:lineRule="auto"/>
    </w:pPr>
    <w:rPr>
      <w:color w:val="000000"/>
      <w:sz w:val="20"/>
      <w:szCs w:val="20"/>
    </w:rPr>
    <w:tblPr>
      <w:tblStyleRowBandSize w:val="1"/>
      <w:tblStyleColBandSize w:val="1"/>
      <w:tblBorders>
        <w:top w:val="single" w:color="000000" w:sz="8" w:space="0"/>
        <w:bottom w:val="single" w:color="000000" w:sz="8" w:space="0"/>
      </w:tblBorders>
    </w:tblPr>
    <w:tblStylePr w:type="firstRow">
      <w:pPr>
        <w:spacing w:before="0" w:after="0" w:line="240" w:lineRule="auto"/>
      </w:pPr>
      <w:rPr>
        <w:b/>
        <w:bCs/>
      </w:rPr>
      <w:tbl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bCs/>
      </w:rPr>
      <w:tblPr/>
      <w:tcPr>
        <w:tcBorders>
          <w:top w:val="single" w:color="000000" w:sz="8" w:space="0"/>
          <w:left w:val="nil"/>
          <w:bottom w:val="single" w:color="000000"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e44471"/>
    <w:pPr>
      <w:spacing w:after="0" w:line="240" w:lineRule="auto"/>
    </w:pPr>
    <w:rPr>
      <w:color w:val="365F91"/>
      <w:sz w:val="20"/>
      <w:szCs w:val="20"/>
    </w:rPr>
    <w:tblPr>
      <w:tblStyleRowBandSize w:val="1"/>
      <w:tblStyleColBandSize w:val="1"/>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la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Normal">
    <w:name w:val="Table Normal"/>
    <w:uiPriority w:val="2"/>
    <w:semiHidden/>
    <w:unhideWhenUsed/>
    <w:qFormat/>
    <w:rsid w:val="00e44471"/>
    <w:pPr>
      <w:spacing w:after="0" w:line="240" w:lineRule="auto"/>
    </w:pPr>
    <w:rPr>
      <w:lang w:val="en-US" w:eastAsia="en-US"/>
    </w:rPr>
    <w:tblPr>
      <w:tblInd w:w="0" w:type="dxa"/>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garantf1://10007990.2007" TargetMode="External"/><Relationship Id="rId5" Type="http://schemas.openxmlformats.org/officeDocument/2006/relationships/hyperlink" Target="garantf1://12017177.2630208" TargetMode="External"/><Relationship Id="rId6" Type="http://schemas.openxmlformats.org/officeDocument/2006/relationships/header" Target="header1.xml"/><Relationship Id="rId7" Type="http://schemas.openxmlformats.org/officeDocument/2006/relationships/footer" Target="footer1.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footer1.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BF4D4F-E470-403A-877B-6A9C7DC7E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6681</TotalTime>
  <Application>LibreOffice/6.2.8.2$Windows_X86_64 LibreOffice_project/f82ddfca21ebc1e222a662a32b25c0c9d20169ee</Application>
  <Pages>43</Pages>
  <Words>14739</Words>
  <Characters>111377</Characters>
  <CharactersWithSpaces>125690</CharactersWithSpaces>
  <Paragraphs>1092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2022-03-28T10:52:00Z</dcterms:created>
  <dc:creator>Александр В. Десятерик</dc:creator>
  <dc:description/>
  <dc:language>ru-RU</dc:language>
  <cp:lastModifiedBy>PC33</cp:lastModifiedBy>
  <cp:lastPrinted>2024-06-06T09:33:00Z</cp:lastPrinted>
  <dcterms:modified xsi:type="dcterms:W3CDTF">2024-08-07T09:18:00Z</dcterms:modified>
  <cp:revision>14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